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(descripción) para Excel: Cálculo de IGM y ROI MITRE ATT&amp;CK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ListBullet"/>
        <w:keepLines w:val="1"/>
        <w:keepNext w:val="1"/>
        <w:widowControl w:val="1"/>
      </w:pPr>
      <w:r>
        <w:t xml:space="preserve">Hoja 1 – Respuestas </w:t>
      </w:r>
    </w:p>
    <w:p>
      <w:pPr>
        <w:pStyle w:val="ListBullet"/>
        <w:keepLines w:val="1"/>
        <w:keepNext w:val="1"/>
        <w:widowControl w:val="1"/>
      </w:pPr>
      <w:r>
        <w:t xml:space="preserve">Hoja 2 – Cálculo IGM </w:t>
      </w:r>
    </w:p>
    <w:p>
      <w:pPr>
        <w:pStyle w:val="ListBullet"/>
        <w:keepLines w:val="1"/>
        <w:keepNext w:val="1"/>
        <w:widowControl w:val="1"/>
      </w:pPr>
      <w:r>
        <w:t xml:space="preserve">Hoja 3 – Cálculo ROI </w:t>
      </w:r>
    </w:p>
    <w:p>
      <w:pPr>
        <w:pStyle w:val="ListBullet"/>
        <w:keepLines w:val="1"/>
        <w:widowControl w:val="1"/>
      </w:pPr>
      <w:r>
        <w:t>Hoja 4 – Resumen Ejecutivo</w:t>
      </w:r>
    </w:p>
    <w:p>
      <w:pPr>
        <w:pStyle w:val="Heading2"/>
        <w:keepNext/>
        <w:keepLines/>
      </w:pPr>
      <w:r>
        <w:rPr>
          <w:color w:val="0066CC"/>
        </w:rPr>
        <w:t>2. Hoja 1 – Respuestas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ID Pregunta (G1, G2, C1, etc.)  </w:t>
      </w:r>
    </w:p>
    <w:p>
      <w:pPr>
        <w:pStyle w:val="ListBullet"/>
        <w:keepLines w:val="1"/>
        <w:keepNext w:val="1"/>
        <w:widowControl w:val="1"/>
      </w:pPr>
      <w:r>
        <w:t xml:space="preserve">B: Bloque (Gobierno, Cobertura, Calidad, etc.)  </w:t>
      </w:r>
    </w:p>
    <w:p>
      <w:pPr>
        <w:pStyle w:val="ListBullet"/>
        <w:keepLines w:val="1"/>
        <w:keepNext w:val="1"/>
        <w:widowControl w:val="1"/>
      </w:pPr>
      <w:r>
        <w:t xml:space="preserve">C: Descripción breve de la pregunta  </w:t>
      </w:r>
    </w:p>
    <w:p>
      <w:pPr>
        <w:pStyle w:val="ListBullet"/>
        <w:keepLines w:val="1"/>
        <w:keepNext w:val="1"/>
        <w:widowControl w:val="1"/>
      </w:pPr>
      <w:r>
        <w:t xml:space="preserve">D: Puntuación (0–5)  </w:t>
      </w:r>
    </w:p>
    <w:p>
      <w:pPr>
        <w:pStyle w:val="ListBullet"/>
        <w:keepLines w:val="1"/>
        <w:widowControl w:val="1"/>
      </w:pPr>
      <w:r>
        <w:t>E: Comentarios</w:t>
      </w:r>
    </w:p>
    <w:p>
      <w:r>
        <w:t>Cada fila corresponde a una pregunta de la encuesta.</w:t>
      </w:r>
    </w:p>
    <w:p>
      <w:pPr>
        <w:pStyle w:val="Heading2"/>
        <w:keepNext/>
        <w:keepLines/>
      </w:pPr>
      <w:r>
        <w:rPr>
          <w:color w:val="0066CC"/>
        </w:rPr>
        <w:t>3. Hoja 2 – Cálculo IGM</w:t>
      </w:r>
    </w:p>
    <w:p>
      <w:pPr>
        <w:pStyle w:val="Heading3"/>
        <w:keepNext/>
        <w:keepLines/>
      </w:pPr>
      <w:r>
        <w:t>3.1 Estructura</w:t>
      </w:r>
    </w:p>
    <w:p>
      <w:pPr>
        <w:pStyle w:val="ListBullet"/>
        <w:keepLines w:val="1"/>
        <w:keepNext w:val="1"/>
        <w:widowControl w:val="1"/>
      </w:pPr>
      <w:r>
        <w:t xml:space="preserve">A: Bloque (G, C, Q, T, A, I, E, F, H)  </w:t>
      </w:r>
    </w:p>
    <w:p>
      <w:pPr>
        <w:pStyle w:val="ListBullet"/>
        <w:keepLines w:val="1"/>
        <w:keepNext w:val="1"/>
        <w:widowControl w:val="1"/>
      </w:pPr>
      <w:r>
        <w:t xml:space="preserve">B: Descripción  </w:t>
      </w:r>
    </w:p>
    <w:p>
      <w:pPr>
        <w:pStyle w:val="ListBullet"/>
        <w:keepLines w:val="1"/>
        <w:keepNext w:val="1"/>
        <w:widowControl w:val="1"/>
      </w:pPr>
      <w:r>
        <w:t xml:space="preserve">C: Número de preguntas en el bloque  </w:t>
      </w:r>
    </w:p>
    <w:p>
      <w:pPr>
        <w:pStyle w:val="ListBullet"/>
        <w:keepLines w:val="1"/>
        <w:keepNext w:val="1"/>
        <w:widowControl w:val="1"/>
      </w:pPr>
      <w:r>
        <w:t xml:space="preserve">D: Suma de puntuaciones (vinculada a Hoja 1)  </w:t>
      </w:r>
    </w:p>
    <w:p>
      <w:pPr>
        <w:pStyle w:val="ListBullet"/>
        <w:keepLines w:val="1"/>
        <w:keepNext w:val="1"/>
        <w:widowControl w:val="1"/>
      </w:pPr>
      <w:r>
        <w:t xml:space="preserve">E: IGM_Bloque = D / C  </w:t>
      </w:r>
    </w:p>
    <w:p>
      <w:pPr>
        <w:pStyle w:val="ListBullet"/>
        <w:keepLines w:val="1"/>
        <w:keepNext w:val="1"/>
        <w:widowControl w:val="1"/>
      </w:pPr>
      <w:r>
        <w:t xml:space="preserve">F: Peso asignado (en %)  </w:t>
      </w:r>
    </w:p>
    <w:p>
      <w:pPr>
        <w:pStyle w:val="ListBullet"/>
        <w:keepLines w:val="1"/>
        <w:widowControl w:val="1"/>
      </w:pPr>
      <w:r>
        <w:t>G: Contribución al IGM Global = E * F</w:t>
      </w:r>
    </w:p>
    <w:p>
      <w:pPr>
        <w:pStyle w:val="Heading3"/>
        <w:keepNext/>
        <w:keepLines/>
      </w:pPr>
      <w:r>
        <w:t>3.2 Fórmulas ejemplo</w:t>
      </w:r>
    </w:p>
    <w:p>
      <w:r>
        <w:t>Supongamos:</w:t>
      </w:r>
    </w:p>
    <w:p>
      <w:pPr>
        <w:pStyle w:val="ListBullet"/>
        <w:keepLines w:val="1"/>
        <w:keepNext w:val="1"/>
        <w:widowControl w:val="1"/>
      </w:pPr>
      <w:r>
        <w:t xml:space="preserve">Respuestas en Hoja1!A:E  </w:t>
      </w:r>
    </w:p>
    <w:p>
      <w:pPr>
        <w:pStyle w:val="ListBullet"/>
        <w:keepLines w:val="1"/>
        <w:widowControl w:val="1"/>
      </w:pPr>
      <w:r>
        <w:t>Bloque G (Gobierno) incluye preguntas G1–G4.</w:t>
      </w:r>
    </w:p>
    <w:p>
      <w:r>
        <w:t>En Hoja 2:</w:t>
      </w:r>
    </w:p>
    <w:p>
      <w:pPr>
        <w:pStyle w:val="ListBullet"/>
        <w:keepLines w:val="1"/>
        <w:keepNext w:val="1"/>
        <w:widowControl w:val="1"/>
      </w:pPr>
      <w:r>
        <w:br/>
        <w:t>En D2 (Suma de bloque G):</w:t>
        <w:br/>
        <w:t xml:space="preserve">=SUMAR.SI(Hoja1!B:B;"Gobierno";Hoja1!D:D) </w:t>
        <w:br/>
      </w:r>
    </w:p>
    <w:p>
      <w:pPr>
        <w:pStyle w:val="ListBullet"/>
        <w:keepLines w:val="1"/>
        <w:keepNext w:val="1"/>
        <w:widowControl w:val="1"/>
      </w:pPr>
      <w:r>
        <w:br/>
        <w:t>En C2 (Número de preguntas bloque G):</w:t>
        <w:br/>
        <w:t xml:space="preserve">=CONTAR.SI(Hoja1!B:B;"Gobierno") </w:t>
        <w:br/>
      </w:r>
    </w:p>
    <w:p>
      <w:pPr>
        <w:pStyle w:val="ListBullet"/>
        <w:keepLines w:val="1"/>
        <w:keepNext w:val="1"/>
        <w:widowControl w:val="1"/>
      </w:pPr>
      <w:r>
        <w:br/>
        <w:t>En E2 (IGM_Gobierno):</w:t>
        <w:br/>
        <w:t xml:space="preserve">=D2/C2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En F2 (Peso, por ejemplo 0,15)  </w:t>
        <w:br/>
      </w:r>
    </w:p>
    <w:p>
      <w:pPr>
        <w:pStyle w:val="ListBullet"/>
        <w:keepLines w:val="1"/>
        <w:widowControl w:val="1"/>
      </w:pPr>
      <w:r>
        <w:br/>
        <w:t>En G2 (Contribución):</w:t>
        <w:br/>
        <w:t xml:space="preserve">=E2*F2 </w:t>
        <w:br/>
      </w:r>
    </w:p>
    <w:p>
      <w:r>
        <w:t>En D2 (Suma de bloque G):</w:t>
      </w:r>
      <w:r/>
      <w:r>
        <w:br/>
      </w:r>
      <w:r>
        <w:rPr>
          <w:rFonts w:ascii="Courier New" w:hAnsi="Courier New"/>
          <w:sz w:val="18"/>
        </w:rPr>
        <w:t>=SUMAR.SI(Hoja1!B:B;"Gobierno";Hoja1!D:D)</w:t>
      </w:r>
      <w:r>
        <w:t xml:space="preserve"> </w:t>
      </w:r>
    </w:p>
    <w:p>
      <w:r>
        <w:t>En C2 (Número de preguntas bloque G):</w:t>
      </w:r>
      <w:r/>
      <w:r>
        <w:br/>
      </w:r>
      <w:r>
        <w:rPr>
          <w:rFonts w:ascii="Courier New" w:hAnsi="Courier New"/>
          <w:sz w:val="18"/>
        </w:rPr>
        <w:t>=CONTAR.SI(Hoja1!B:B;"Gobierno")</w:t>
      </w:r>
      <w:r>
        <w:t xml:space="preserve"> </w:t>
      </w:r>
    </w:p>
    <w:p>
      <w:r>
        <w:t>En E2 (IGM_Gobierno):</w:t>
      </w:r>
      <w:r/>
      <w:r>
        <w:br/>
      </w:r>
      <w:r>
        <w:rPr>
          <w:rFonts w:ascii="Courier New" w:hAnsi="Courier New"/>
          <w:sz w:val="18"/>
        </w:rPr>
        <w:t>=D2/C2</w:t>
      </w:r>
      <w:r>
        <w:t xml:space="preserve"> </w:t>
      </w:r>
    </w:p>
    <w:p>
      <w:r>
        <w:t xml:space="preserve">En F2 (Peso, por ejemplo 0,15)  </w:t>
      </w:r>
    </w:p>
    <w:p>
      <w:r>
        <w:t>En G2 (Contribución):</w:t>
      </w:r>
      <w:r/>
      <w:r>
        <w:br/>
      </w:r>
      <w:r>
        <w:rPr>
          <w:rFonts w:ascii="Courier New" w:hAnsi="Courier New"/>
          <w:sz w:val="18"/>
        </w:rPr>
        <w:t>=E2*F2</w:t>
      </w:r>
      <w:r>
        <w:t xml:space="preserve"> </w:t>
      </w:r>
    </w:p>
    <w:p>
      <w:r>
        <w:t xml:space="preserve">El </w:t>
      </w:r>
      <w:r>
        <w:rPr>
          <w:b/>
        </w:rPr>
        <w:t>IGM Global</w:t>
      </w:r>
      <w:r>
        <w:t xml:space="preserve"> en Hoja 2 (por ejemplo en G20):</w:t>
      </w:r>
      <w:r/>
      <w:r>
        <w:br/>
      </w:r>
      <w:r>
        <w:rPr>
          <w:rFonts w:ascii="Courier New" w:hAnsi="Courier New"/>
          <w:sz w:val="18"/>
        </w:rPr>
        <w:t>=SUMA(G2:G10)</w:t>
      </w:r>
    </w:p>
    <w:p>
      <w:pPr>
        <w:pStyle w:val="Heading2"/>
        <w:keepNext/>
        <w:keepLines/>
      </w:pPr>
      <w:r>
        <w:rPr>
          <w:color w:val="0066CC"/>
        </w:rPr>
        <w:t>4. Hoja 3 – Cálculo ROI</w:t>
      </w:r>
    </w:p>
    <w:p>
      <w:pPr>
        <w:pStyle w:val="Heading3"/>
        <w:keepNext/>
        <w:keepLines/>
      </w:pPr>
      <w:r>
        <w:t>4.1 Estructura</w:t>
      </w:r>
    </w:p>
    <w:p>
      <w:r>
        <w:t>Para cada iniciativa (fila):</w:t>
      </w:r>
    </w:p>
    <w:p>
      <w:pPr>
        <w:pStyle w:val="ListBullet"/>
        <w:keepLines w:val="1"/>
        <w:keepNext w:val="1"/>
        <w:widowControl w:val="1"/>
      </w:pPr>
      <w:r>
        <w:t xml:space="preserve">A: ID iniciativa  </w:t>
      </w:r>
    </w:p>
    <w:p>
      <w:pPr>
        <w:pStyle w:val="ListBullet"/>
        <w:keepLines w:val="1"/>
        <w:keepNext w:val="1"/>
        <w:widowControl w:val="1"/>
      </w:pPr>
      <w:r>
        <w:t xml:space="preserve">B: Descripción (p. ej., “Mejorar cobertura Lateral Movement”)  </w:t>
      </w:r>
    </w:p>
    <w:p>
      <w:pPr>
        <w:pStyle w:val="ListBullet"/>
        <w:keepLines w:val="1"/>
        <w:keepNext w:val="1"/>
        <w:widowControl w:val="1"/>
      </w:pPr>
      <w:r>
        <w:t xml:space="preserve">C: Bloques afectados (texto)  </w:t>
      </w:r>
    </w:p>
    <w:p>
      <w:pPr>
        <w:pStyle w:val="ListBullet"/>
        <w:keepLines w:val="1"/>
        <w:keepNext w:val="1"/>
        <w:widowControl w:val="1"/>
      </w:pPr>
      <w:r>
        <w:t xml:space="preserve">D: IGM antes (media de bloques relevantes)  </w:t>
      </w:r>
    </w:p>
    <w:p>
      <w:pPr>
        <w:pStyle w:val="ListBullet"/>
        <w:keepLines w:val="1"/>
        <w:keepNext w:val="1"/>
        <w:widowControl w:val="1"/>
      </w:pPr>
      <w:r>
        <w:t xml:space="preserve">E: IGM después (estimado/medido)  </w:t>
      </w:r>
    </w:p>
    <w:p>
      <w:pPr>
        <w:pStyle w:val="ListBullet"/>
        <w:keepLines w:val="1"/>
        <w:keepNext w:val="1"/>
        <w:widowControl w:val="1"/>
      </w:pPr>
      <w:r>
        <w:t xml:space="preserve">F: ΔIGM = E – D  </w:t>
      </w:r>
    </w:p>
    <w:p>
      <w:pPr>
        <w:pStyle w:val="ListBullet"/>
        <w:keepLines w:val="1"/>
        <w:keepNext w:val="1"/>
        <w:widowControl w:val="1"/>
      </w:pPr>
      <w:r>
        <w:t xml:space="preserve">G: Riesgo Anual Esperado (RAE) antes (en €)  </w:t>
      </w:r>
    </w:p>
    <w:p>
      <w:pPr>
        <w:pStyle w:val="ListBullet"/>
        <w:keepLines w:val="1"/>
        <w:keepNext w:val="1"/>
        <w:widowControl w:val="1"/>
      </w:pPr>
      <w:r>
        <w:t xml:space="preserve">H: RAE después (estimado)  </w:t>
      </w:r>
    </w:p>
    <w:p>
      <w:pPr>
        <w:pStyle w:val="ListBullet"/>
        <w:keepLines w:val="1"/>
        <w:keepNext w:val="1"/>
        <w:widowControl w:val="1"/>
      </w:pPr>
      <w:r>
        <w:t xml:space="preserve">I: Reducción de riesgo = G – H  </w:t>
      </w:r>
    </w:p>
    <w:p>
      <w:pPr>
        <w:pStyle w:val="ListBullet"/>
        <w:keepLines w:val="1"/>
        <w:keepNext w:val="1"/>
        <w:widowControl w:val="1"/>
      </w:pPr>
      <w:r>
        <w:t xml:space="preserve">J: Coste de la iniciativa (en €)  </w:t>
      </w:r>
    </w:p>
    <w:p>
      <w:pPr>
        <w:pStyle w:val="ListBullet"/>
        <w:keepLines w:val="1"/>
        <w:widowControl w:val="1"/>
      </w:pPr>
      <w:r>
        <w:t>K: ROI = (I – J) / J</w:t>
      </w:r>
    </w:p>
    <w:p>
      <w:pPr>
        <w:pStyle w:val="Heading3"/>
        <w:keepNext/>
        <w:keepLines/>
      </w:pPr>
      <w:r>
        <w:t>4.2 Fórmulas ejemplo</w:t>
      </w:r>
    </w:p>
    <w:p>
      <w:pPr>
        <w:pStyle w:val="ListBullet"/>
        <w:keepLines w:val="1"/>
        <w:keepNext w:val="1"/>
        <w:widowControl w:val="1"/>
      </w:pPr>
      <w:r>
        <w:t xml:space="preserve">En F2: =E2-D2 </w:t>
      </w:r>
    </w:p>
    <w:p>
      <w:pPr>
        <w:pStyle w:val="ListBullet"/>
        <w:keepLines w:val="1"/>
        <w:keepNext w:val="1"/>
        <w:widowControl w:val="1"/>
      </w:pPr>
      <w:r>
        <w:t xml:space="preserve">En I2: =G2-H2 </w:t>
      </w:r>
    </w:p>
    <w:p>
      <w:pPr>
        <w:pStyle w:val="ListBullet"/>
        <w:keepLines w:val="1"/>
        <w:widowControl w:val="1"/>
      </w:pPr>
      <w:r>
        <w:t>En K2: =(I2-J2)/J2</w:t>
      </w:r>
    </w:p>
    <w:p>
      <w:r>
        <w:t>La plantilla deja a la organización la parametrización de cómo relaciona ΔIGM con reducción de RAE, apoyándose en datos externos (por ejemplo, porcentaje de incidentes asociados a determinadas tácticas según ENISA 2025, o estudios sectoriales).[web:66][web:61]</w:t>
      </w:r>
    </w:p>
    <w:p>
      <w:pPr>
        <w:pStyle w:val="Heading2"/>
        <w:keepNext/>
        <w:keepLines/>
      </w:pPr>
      <w:r>
        <w:rPr>
          <w:color w:val="0066CC"/>
        </w:rPr>
        <w:t>5. Hoja 4 – Resumen Ejecutivo</w:t>
      </w:r>
    </w:p>
    <w:p>
      <w:r>
        <w:t>Elementos:</w:t>
      </w:r>
    </w:p>
    <w:p>
      <w:pPr>
        <w:pStyle w:val="ListBullet"/>
        <w:keepLines w:val="1"/>
        <w:keepNext w:val="1"/>
        <w:widowControl w:val="1"/>
      </w:pPr>
      <w:r>
        <w:t xml:space="preserve">Tabla con IGM Global y por bloque.  </w:t>
      </w:r>
    </w:p>
    <w:p>
      <w:pPr>
        <w:pStyle w:val="ListBullet"/>
        <w:keepLines w:val="1"/>
        <w:keepNext w:val="1"/>
        <w:widowControl w:val="1"/>
      </w:pPr>
      <w:r>
        <w:t xml:space="preserve">Gráfico de radar (IGM por bloque).  </w:t>
      </w:r>
    </w:p>
    <w:p>
      <w:pPr>
        <w:pStyle w:val="ListBullet"/>
        <w:keepLines w:val="1"/>
        <w:keepNext w:val="1"/>
        <w:widowControl w:val="1"/>
      </w:pPr>
      <w:r>
        <w:t xml:space="preserve">Gráfico de barras (ΔIGM antes/después de iniciativas clave).  </w:t>
      </w:r>
    </w:p>
    <w:p>
      <w:pPr>
        <w:pStyle w:val="ListBullet"/>
        <w:keepLines w:val="1"/>
        <w:widowControl w:val="1"/>
      </w:pPr>
      <w:r>
        <w:t xml:space="preserve">Tabla de iniciativas con mayor ROI.  </w:t>
      </w:r>
    </w:p>
    <w:p>
      <w:r>
        <w:t>Estos elementos pueden copiarse a la plantilla de PowerPoint.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