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(estilo PowerPoint) – GQM + PRAGMATIC + MITRE ATT&amp;CK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“Indicadores Nacionales MITRE ATT&amp;CK – Marco GQM + PRAGMATIC”  </w:t>
      </w:r>
    </w:p>
    <w:p>
      <w:pPr>
        <w:pStyle w:val="ListBullet"/>
        <w:keepLines w:val="1"/>
        <w:keepNext w:val="1"/>
        <w:widowControl w:val="1"/>
      </w:pPr>
      <w:r>
        <w:t xml:space="preserve">Subtítulo: “De la estrategia a los logs, sin perder la sonrisa”  </w:t>
      </w:r>
    </w:p>
    <w:p>
      <w:pPr>
        <w:pStyle w:val="ListBullet"/>
        <w:keepLines w:val="1"/>
        <w:widowControl w:val="1"/>
      </w:pPr>
      <w:r>
        <w:t>Fecha, organismo, autores.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3–4 bullets:</w:t>
      </w:r>
    </w:p>
    <w:p>
      <w:pPr>
        <w:pStyle w:val="ListBullet"/>
        <w:keepLines w:val="1"/>
        <w:keepNext w:val="1"/>
        <w:widowControl w:val="1"/>
      </w:pPr>
      <w:r>
        <w:t xml:space="preserve">IGM Global y opinión corta (“madurez intermedia con margen de mejora en X”).  </w:t>
      </w:r>
    </w:p>
    <w:p>
      <w:pPr>
        <w:pStyle w:val="ListBullet"/>
        <w:keepLines w:val="1"/>
        <w:keepNext w:val="1"/>
        <w:widowControl w:val="1"/>
      </w:pPr>
      <w:r>
        <w:t xml:space="preserve">Dos fortalezas clave.  </w:t>
      </w:r>
    </w:p>
    <w:p>
      <w:pPr>
        <w:pStyle w:val="ListBullet"/>
        <w:keepLines w:val="1"/>
        <w:keepNext w:val="1"/>
        <w:widowControl w:val="1"/>
      </w:pPr>
      <w:r>
        <w:t xml:space="preserve">Dos áreas de riesgo.  </w:t>
      </w:r>
    </w:p>
    <w:p>
      <w:pPr>
        <w:pStyle w:val="ListBullet"/>
        <w:keepLines w:val="1"/>
        <w:widowControl w:val="1"/>
      </w:pPr>
      <w:r>
        <w:t>Un mensaje final: “los indicadores son brújulas, no veredictos”.</w:t>
      </w:r>
    </w:p>
    <w:p>
      <w:pPr>
        <w:pStyle w:val="Heading2"/>
        <w:keepNext/>
        <w:keepLines/>
      </w:pPr>
      <w:r>
        <w:rPr>
          <w:color w:val="0066CC"/>
        </w:rPr>
        <w:t>Diapositiva 3 – Contexto: ENISA ETL y MITRE ATT&amp;CK</w:t>
      </w:r>
    </w:p>
    <w:p>
      <w:pPr>
        <w:pStyle w:val="ListBullet"/>
        <w:keepLines w:val="1"/>
        <w:keepNext w:val="1"/>
        <w:widowControl w:val="1"/>
      </w:pPr>
      <w:r>
        <w:t>Breve texto:</w:t>
      </w:r>
    </w:p>
    <w:p>
      <w:pPr>
        <w:pStyle w:val="ListBullet"/>
        <w:keepLines w:val="1"/>
        <w:keepNext w:val="1"/>
        <w:widowControl w:val="1"/>
      </w:pPr>
      <w:r>
        <w:t xml:space="preserve">ENISA ETL 2025 identifica TTP recurrentes por sector en la UE.[web:66][web:61]  </w:t>
      </w:r>
    </w:p>
    <w:p>
      <w:pPr>
        <w:pStyle w:val="ListBullet"/>
        <w:keepLines w:val="1"/>
        <w:keepNext w:val="1"/>
        <w:widowControl w:val="1"/>
      </w:pPr>
      <w:r>
        <w:t xml:space="preserve">MITRE ATT&amp;CK proporciona la taxonomía para describirlos.[web:29]  </w:t>
      </w:r>
    </w:p>
    <w:p>
      <w:pPr>
        <w:pStyle w:val="ListBullet"/>
        <w:keepLines w:val="1"/>
        <w:keepNext w:val="1"/>
        <w:widowControl w:val="1"/>
      </w:pPr>
      <w:r>
        <w:t>Gráfico:</w:t>
      </w:r>
    </w:p>
    <w:p>
      <w:pPr>
        <w:pStyle w:val="ListBullet"/>
        <w:keepLines w:val="1"/>
        <w:widowControl w:val="1"/>
      </w:pPr>
      <w:r>
        <w:t>Esquema simple que conecte “Amenazas (ENISA)” → “TTP (ATT&amp;CK)” → “Métricas”.</w:t>
      </w:r>
    </w:p>
    <w:p>
      <w:pPr>
        <w:pStyle w:val="Heading2"/>
        <w:keepNext/>
        <w:keepLines/>
      </w:pPr>
      <w:r>
        <w:rPr>
          <w:color w:val="0066CC"/>
        </w:rPr>
        <w:t>Diapositiva 4 – Marco GQM</w:t>
      </w:r>
    </w:p>
    <w:p>
      <w:pPr>
        <w:pStyle w:val="ListBullet"/>
        <w:keepLines w:val="1"/>
        <w:keepNext w:val="1"/>
        <w:widowControl w:val="1"/>
      </w:pPr>
      <w:r>
        <w:t>Esquema:</w:t>
      </w:r>
    </w:p>
    <w:p>
      <w:pPr>
        <w:pStyle w:val="ListBullet"/>
        <w:keepLines w:val="1"/>
        <w:keepNext w:val="1"/>
        <w:widowControl w:val="1"/>
      </w:pPr>
      <w:r>
        <w:t xml:space="preserve">“Goal → Question → Metric”.  </w:t>
      </w:r>
    </w:p>
    <w:p>
      <w:pPr>
        <w:pStyle w:val="ListBullet"/>
        <w:keepLines w:val="1"/>
        <w:keepNext w:val="1"/>
        <w:widowControl w:val="1"/>
      </w:pPr>
      <w:r>
        <w:t>Ejemplo concreto:</w:t>
      </w:r>
    </w:p>
    <w:p>
      <w:pPr>
        <w:pStyle w:val="ListBullet"/>
        <w:keepLines w:val="1"/>
        <w:keepNext w:val="1"/>
        <w:widowControl w:val="1"/>
      </w:pPr>
      <w:r>
        <w:t xml:space="preserve">Goal: Reducir impacto de ransomware en salud.  </w:t>
      </w:r>
    </w:p>
    <w:p>
      <w:pPr>
        <w:pStyle w:val="ListBullet"/>
        <w:keepLines w:val="1"/>
        <w:keepNext w:val="1"/>
        <w:widowControl w:val="1"/>
      </w:pPr>
      <w:r>
        <w:t xml:space="preserve">Question: ¿Detectamos a tiempo credenciales y movimiento lateral?  </w:t>
      </w:r>
    </w:p>
    <w:p>
      <w:pPr>
        <w:pStyle w:val="ListBullet"/>
        <w:keepLines w:val="1"/>
        <w:widowControl w:val="1"/>
      </w:pPr>
      <w:r>
        <w:t>Metric: Cobertura de técnicas y MTTD/MTTR para tácticas relevantes.</w:t>
      </w:r>
    </w:p>
    <w:p>
      <w:pPr>
        <w:pStyle w:val="Heading2"/>
        <w:keepNext/>
        <w:keepLines/>
      </w:pPr>
      <w:r>
        <w:rPr>
          <w:color w:val="0066CC"/>
        </w:rPr>
        <w:t>Diapositiva 5 – PRAGMATIC: calidad de las métricas</w:t>
      </w:r>
    </w:p>
    <w:p>
      <w:pPr>
        <w:pStyle w:val="ListBullet"/>
        <w:keepLines w:val="1"/>
        <w:keepNext w:val="1"/>
        <w:widowControl w:val="1"/>
      </w:pPr>
      <w:r>
        <w:t xml:space="preserve">Lista de criterios: Predictivo, Relevante, Accionable, Genuino, Significativo, Preciso, Oportuno, Independiente, Rentable.  </w:t>
      </w:r>
    </w:p>
    <w:p>
      <w:pPr>
        <w:pStyle w:val="ListBullet"/>
        <w:keepLines w:val="1"/>
        <w:keepNext w:val="1"/>
        <w:widowControl w:val="1"/>
      </w:pPr>
      <w:r>
        <w:t>Gráfico:</w:t>
      </w:r>
    </w:p>
    <w:p>
      <w:pPr>
        <w:pStyle w:val="ListBullet"/>
        <w:keepLines w:val="1"/>
        <w:widowControl w:val="1"/>
      </w:pPr>
      <w:r>
        <w:t>Tabla simple con 2–3 métricas y sus totales PRAGMATIC para ilustrar.</w:t>
      </w:r>
    </w:p>
    <w:p>
      <w:pPr>
        <w:pStyle w:val="Heading2"/>
        <w:keepNext/>
        <w:keepLines/>
      </w:pPr>
      <w:r>
        <w:rPr>
          <w:color w:val="0066CC"/>
        </w:rPr>
        <w:t>Diapositiva 6 – Métricas clave seleccionadas</w:t>
      </w:r>
    </w:p>
    <w:p>
      <w:pPr>
        <w:pStyle w:val="ListBullet"/>
        <w:keepLines w:val="1"/>
        <w:keepNext w:val="1"/>
        <w:widowControl w:val="1"/>
      </w:pPr>
      <w:r>
        <w:t>Tabla con columnas:</w:t>
      </w:r>
    </w:p>
    <w:p>
      <w:pPr>
        <w:pStyle w:val="ListBullet"/>
        <w:keepLines w:val="1"/>
        <w:keepNext w:val="1"/>
        <w:widowControl w:val="1"/>
      </w:pPr>
      <w:r>
        <w:t xml:space="preserve">ID (I1, I2, I3…).  </w:t>
      </w:r>
    </w:p>
    <w:p>
      <w:pPr>
        <w:pStyle w:val="ListBullet"/>
        <w:keepLines w:val="1"/>
        <w:keepNext w:val="1"/>
        <w:widowControl w:val="1"/>
      </w:pPr>
      <w:r>
        <w:t xml:space="preserve">Nombre.  </w:t>
      </w:r>
    </w:p>
    <w:p>
      <w:pPr>
        <w:pStyle w:val="ListBullet"/>
        <w:keepLines w:val="1"/>
        <w:keepNext w:val="1"/>
        <w:widowControl w:val="1"/>
      </w:pPr>
      <w:r>
        <w:t xml:space="preserve">Breve descripción.  </w:t>
      </w:r>
    </w:p>
    <w:p>
      <w:pPr>
        <w:pStyle w:val="ListBullet"/>
        <w:keepLines w:val="1"/>
        <w:widowControl w:val="1"/>
      </w:pPr>
      <w:r>
        <w:t xml:space="preserve">Peso combinado GQM+PRAGMATIC.  </w:t>
      </w:r>
    </w:p>
    <w:p>
      <w:r>
        <w:t>Resaltar 3–5 métricas prioritarias (por ejemplo I2, I3, I6, I8, I11).</w:t>
      </w:r>
    </w:p>
    <w:p>
      <w:pPr>
        <w:pStyle w:val="Heading2"/>
        <w:keepNext/>
        <w:keepLines/>
      </w:pPr>
      <w:r>
        <w:rPr>
          <w:color w:val="0066CC"/>
        </w:rPr>
        <w:t>Diapositiva 7 – IGM Global y por métrica</w:t>
      </w:r>
    </w:p>
    <w:p>
      <w:pPr>
        <w:pStyle w:val="ListBullet"/>
        <w:keepLines w:val="1"/>
        <w:keepNext w:val="1"/>
        <w:widowControl w:val="1"/>
      </w:pPr>
      <w:r>
        <w:t>Gráfico:</w:t>
      </w:r>
    </w:p>
    <w:p>
      <w:pPr>
        <w:pStyle w:val="ListBullet"/>
        <w:keepLines w:val="1"/>
        <w:keepNext w:val="1"/>
        <w:widowControl w:val="1"/>
      </w:pPr>
      <w:r>
        <w:t xml:space="preserve">Barra para IGM Global.  </w:t>
      </w:r>
    </w:p>
    <w:p>
      <w:pPr>
        <w:pStyle w:val="ListBullet"/>
        <w:keepLines w:val="1"/>
        <w:keepNext w:val="1"/>
        <w:widowControl w:val="1"/>
      </w:pPr>
      <w:r>
        <w:br/>
        <w:t xml:space="preserve">Serie de barras para métricas clave normalizadas (0–5).  </w:t>
        <w:br/>
      </w:r>
    </w:p>
    <w:p>
      <w:pPr>
        <w:pStyle w:val="ListBullet"/>
        <w:keepLines w:val="1"/>
        <w:widowControl w:val="1"/>
      </w:pPr>
      <w:r>
        <w:br/>
        <w:t>Bullet: comentario sobre posición actual vs. objetivo nacional.</w:t>
        <w:br/>
      </w:r>
    </w:p>
    <w:p>
      <w:r>
        <w:t xml:space="preserve">Serie de barras para métricas clave normalizadas (0–5).  </w:t>
      </w:r>
    </w:p>
    <w:p>
      <w:r>
        <w:t>Bullet: comentario sobre posición actual vs. objetivo nacional.</w:t>
      </w:r>
    </w:p>
    <w:p>
      <w:pPr>
        <w:pStyle w:val="Heading2"/>
        <w:keepNext/>
        <w:keepLines/>
      </w:pPr>
      <w:r>
        <w:rPr>
          <w:color w:val="0066CC"/>
        </w:rPr>
        <w:t>Diapositiva 8 – Brechas destacadas</w:t>
      </w:r>
    </w:p>
    <w:p>
      <w:pPr>
        <w:pStyle w:val="ListBullet"/>
        <w:keepLines w:val="1"/>
        <w:keepNext w:val="1"/>
        <w:widowControl w:val="1"/>
      </w:pPr>
      <w:r>
        <w:t>Gráfico de burbujas:</w:t>
      </w:r>
    </w:p>
    <w:p>
      <w:pPr>
        <w:pStyle w:val="ListBullet"/>
        <w:keepLines w:val="1"/>
        <w:keepNext w:val="1"/>
        <w:widowControl w:val="1"/>
      </w:pPr>
      <w:r>
        <w:t xml:space="preserve">X: Peso combinado de la métrica.  </w:t>
      </w:r>
    </w:p>
    <w:p>
      <w:pPr>
        <w:pStyle w:val="ListBullet"/>
        <w:keepLines w:val="1"/>
        <w:keepNext w:val="1"/>
        <w:widowControl w:val="1"/>
      </w:pPr>
      <w:r>
        <w:t xml:space="preserve">Y: Brecha (objetivo – actual).  </w:t>
      </w:r>
    </w:p>
    <w:p>
      <w:pPr>
        <w:pStyle w:val="ListBullet"/>
        <w:keepLines w:val="1"/>
        <w:keepNext w:val="1"/>
        <w:widowControl w:val="1"/>
      </w:pPr>
      <w:r>
        <w:br/>
        <w:t>Tamaño: coste de mejora estimado.</w:t>
        <w:br/>
      </w:r>
    </w:p>
    <w:p>
      <w:pPr>
        <w:pStyle w:val="ListBullet"/>
        <w:keepLines w:val="1"/>
        <w:widowControl w:val="1"/>
      </w:pPr>
      <w:r>
        <w:br/>
        <w:t>Texto: priorizar 3 “grandes peces a pescar” (métricas donde la combinación peso+brecha+ROI las hace irresistibles).</w:t>
        <w:br/>
      </w:r>
    </w:p>
    <w:p>
      <w:r>
        <w:t>Tamaño: coste de mejora estimado.</w:t>
      </w:r>
    </w:p>
    <w:p>
      <w:r>
        <w:t>Texto: priorizar 3 “grandes peces a pescar” (métricas donde la combinación peso+brecha+ROI las hace irresistibles).</w:t>
      </w:r>
    </w:p>
    <w:p>
      <w:pPr>
        <w:pStyle w:val="Heading2"/>
        <w:keepNext/>
        <w:keepLines/>
      </w:pPr>
      <w:r>
        <w:rPr>
          <w:color w:val="0066CC"/>
        </w:rPr>
        <w:t>Diapositiva 9 – ROI de iniciativas ATT&amp;CK‑driven</w:t>
      </w:r>
    </w:p>
    <w:p>
      <w:pPr>
        <w:pStyle w:val="ListBullet"/>
        <w:keepLines w:val="1"/>
        <w:keepNext w:val="1"/>
        <w:widowControl w:val="1"/>
      </w:pPr>
      <w:r>
        <w:t>Tabla:</w:t>
      </w:r>
    </w:p>
    <w:p>
      <w:pPr>
        <w:pStyle w:val="ListBullet"/>
        <w:keepLines w:val="1"/>
        <w:keepNext w:val="1"/>
        <w:widowControl w:val="1"/>
      </w:pPr>
      <w:r>
        <w:t xml:space="preserve">Iniciativa.  </w:t>
      </w:r>
    </w:p>
    <w:p>
      <w:pPr>
        <w:pStyle w:val="ListBullet"/>
        <w:keepLines w:val="1"/>
        <w:keepNext w:val="1"/>
        <w:widowControl w:val="1"/>
      </w:pPr>
      <w:r>
        <w:t xml:space="preserve">Métricas afectadas.  </w:t>
      </w:r>
    </w:p>
    <w:p>
      <w:pPr>
        <w:pStyle w:val="ListBullet"/>
        <w:keepLines w:val="1"/>
        <w:keepNext w:val="1"/>
        <w:widowControl w:val="1"/>
      </w:pPr>
      <w:r>
        <w:t xml:space="preserve">ΔIGM.  </w:t>
      </w:r>
    </w:p>
    <w:p>
      <w:pPr>
        <w:pStyle w:val="ListBullet"/>
        <w:keepLines w:val="1"/>
        <w:keepNext w:val="1"/>
        <w:widowControl w:val="1"/>
      </w:pPr>
      <w:r>
        <w:t xml:space="preserve">Reducción de RAE (estimada).  </w:t>
      </w:r>
    </w:p>
    <w:p>
      <w:pPr>
        <w:pStyle w:val="ListBullet"/>
        <w:keepLines w:val="1"/>
        <w:keepNext w:val="1"/>
        <w:widowControl w:val="1"/>
      </w:pPr>
      <w:r>
        <w:br/>
        <w:t>ROI.</w:t>
        <w:br/>
      </w:r>
    </w:p>
    <w:p>
      <w:pPr>
        <w:pStyle w:val="ListBullet"/>
        <w:keepLines w:val="1"/>
        <w:widowControl w:val="1"/>
      </w:pPr>
      <w:r>
        <w:br/>
        <w:t>Comentario: “no todas las mejoras cuestan lo mismo ni devuelven lo mismo”.</w:t>
        <w:br/>
      </w:r>
    </w:p>
    <w:p>
      <w:r>
        <w:t>ROI.</w:t>
      </w:r>
    </w:p>
    <w:p>
      <w:r>
        <w:t>Comentario: “no todas las mejoras cuestan lo mismo ni devuelven lo mismo”.</w:t>
      </w:r>
    </w:p>
    <w:p>
      <w:pPr>
        <w:pStyle w:val="Heading2"/>
        <w:keepNext/>
        <w:keepLines/>
      </w:pPr>
      <w:r>
        <w:rPr>
          <w:color w:val="0066CC"/>
        </w:rPr>
        <w:t>Diapositiva 10 – Roadmap 24 meses</w:t>
      </w:r>
    </w:p>
    <w:p>
      <w:pPr>
        <w:pStyle w:val="ListBullet"/>
        <w:keepLines w:val="1"/>
        <w:keepNext w:val="1"/>
        <w:widowControl w:val="1"/>
      </w:pPr>
      <w:r>
        <w:t>Línea de tiempo:</w:t>
      </w:r>
    </w:p>
    <w:p>
      <w:pPr>
        <w:pStyle w:val="ListBullet"/>
        <w:keepLines w:val="1"/>
        <w:keepNext w:val="1"/>
        <w:widowControl w:val="1"/>
      </w:pPr>
      <w:r>
        <w:t xml:space="preserve">Fase 1 (0–6 meses): quick wins métricos (etiquetado ATT&amp;CK, CTI básico, reporting).  </w:t>
      </w:r>
    </w:p>
    <w:p>
      <w:pPr>
        <w:pStyle w:val="ListBullet"/>
        <w:keepLines w:val="1"/>
        <w:keepNext w:val="1"/>
        <w:widowControl w:val="1"/>
      </w:pPr>
      <w:r>
        <w:t xml:space="preserve">Fase 2 (6–18 meses): proyectos de cobertura y tiempos críticos.  </w:t>
      </w:r>
    </w:p>
    <w:p>
      <w:pPr>
        <w:pStyle w:val="ListBullet"/>
        <w:keepLines w:val="1"/>
        <w:widowControl w:val="1"/>
      </w:pPr>
      <w:r>
        <w:t>Fase 3 (18–24+ meses): refinamiento, automatización y consolidación de ROI.</w:t>
      </w:r>
    </w:p>
    <w:p>
      <w:pPr>
        <w:pStyle w:val="Heading2"/>
        <w:keepNext/>
        <w:keepLines/>
      </w:pPr>
      <w:r>
        <w:rPr>
          <w:color w:val="0066CC"/>
        </w:rPr>
        <w:t>Diapositiva 11 – Riesgos si no se actúa</w:t>
      </w:r>
    </w:p>
    <w:p>
      <w:pPr>
        <w:pStyle w:val="ListBullet"/>
        <w:keepLines w:val="1"/>
        <w:keepNext w:val="1"/>
        <w:widowControl w:val="1"/>
      </w:pPr>
      <w:r>
        <w:t>3 bullets:</w:t>
      </w:r>
    </w:p>
    <w:p>
      <w:pPr>
        <w:pStyle w:val="ListBullet"/>
        <w:keepLines w:val="1"/>
        <w:keepNext w:val="1"/>
        <w:widowControl w:val="1"/>
      </w:pPr>
      <w:r>
        <w:t xml:space="preserve">Persistencia de puntos ciegos frente a TTP recurrentes.  </w:t>
      </w:r>
    </w:p>
    <w:p>
      <w:pPr>
        <w:pStyle w:val="ListBullet"/>
        <w:keepLines w:val="1"/>
        <w:keepNext w:val="1"/>
        <w:widowControl w:val="1"/>
      </w:pPr>
      <w:r>
        <w:t xml:space="preserve">Dificultad para justificar inversiones frente a reguladores y órganos de gobierno.  </w:t>
      </w:r>
    </w:p>
    <w:p>
      <w:pPr>
        <w:pStyle w:val="ListBullet"/>
        <w:keepLines w:val="1"/>
        <w:widowControl w:val="1"/>
      </w:pPr>
      <w:r>
        <w:t>Pérdida de alineación con estándares europeos de resiliencia.</w:t>
      </w:r>
    </w:p>
    <w:p>
      <w:pPr>
        <w:pStyle w:val="Heading2"/>
        <w:keepNext/>
        <w:keepLines/>
      </w:pPr>
      <w:r>
        <w:rPr>
          <w:color w:val="0066CC"/>
        </w:rPr>
        <w:t>Diapositiva 12 – Cierre</w:t>
      </w:r>
    </w:p>
    <w:p>
      <w:pPr>
        <w:pStyle w:val="ListBullet"/>
        <w:keepLines w:val="1"/>
        <w:keepNext w:val="1"/>
        <w:widowControl w:val="1"/>
      </w:pPr>
      <w:r>
        <w:t>Mensaje central:</w:t>
      </w:r>
    </w:p>
    <w:p>
      <w:pPr>
        <w:pStyle w:val="ListBullet"/>
        <w:keepLines w:val="1"/>
        <w:keepNext w:val="1"/>
        <w:widowControl w:val="1"/>
      </w:pPr>
      <w:r>
        <w:t xml:space="preserve">“Medir lo que importa, mejorar lo que medimos, dejar de coleccionar KPIs por deporte.”  </w:t>
      </w:r>
    </w:p>
    <w:p>
      <w:pPr>
        <w:pStyle w:val="ListBullet"/>
        <w:keepLines w:val="1"/>
        <w:widowControl w:val="1"/>
      </w:pPr>
      <w:r>
        <w:t>Contacto / próximos pasos.</w:t>
      </w:r>
    </w:p>
    <w:p>
      <w:pPr>
        <w:pStyle w:val="Heading2"/>
        <w:keepNext/>
        <w:keepLines/>
      </w:pPr>
      <w:r>
        <w:rPr>
          <w:color w:val="0066CC"/>
        </w:rPr>
        <w:t>Notas de estilo</w:t>
      </w:r>
    </w:p>
    <w:p>
      <w:pPr>
        <w:pStyle w:val="ListBullet"/>
        <w:keepLines w:val="1"/>
        <w:keepNext w:val="1"/>
        <w:widowControl w:val="1"/>
      </w:pPr>
      <w:r>
        <w:t xml:space="preserve">Usar lenguaje claro y metáforas ligeras, sin perder el rigor.  </w:t>
      </w:r>
    </w:p>
    <w:p>
      <w:pPr>
        <w:pStyle w:val="ListBullet"/>
        <w:keepLines w:val="1"/>
        <w:keepNext w:val="1"/>
        <w:widowControl w:val="1"/>
      </w:pPr>
      <w:r>
        <w:t xml:space="preserve">Respetar colores corporativos y, cuando proceda, iconografía asociada a funciones nacionales (CERT, autoridad competente, etc.).  </w:t>
      </w:r>
    </w:p>
    <w:p>
      <w:pPr>
        <w:pStyle w:val="ListBullet"/>
        <w:keepLines w:val="1"/>
        <w:widowControl w:val="1"/>
      </w:pPr>
      <w:r>
        <w:t>Evitar sobrecarga de texto; priorizar tablas simples y gráficos “de una mirada”.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