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(estilo PowerPoint) – MITRE ATT&amp;CK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“Estado de Madurez MITRE ATT&amp;CK – [Nombre Organización]”  </w:t>
      </w:r>
    </w:p>
    <w:p>
      <w:pPr>
        <w:pStyle w:val="ListBullet"/>
        <w:keepLines w:val="1"/>
        <w:keepNext w:val="1"/>
        <w:widowControl w:val="1"/>
      </w:pPr>
      <w:r>
        <w:t xml:space="preserve">Subtítulo: “Diagnóstico y oportunidades de mejora”  </w:t>
      </w:r>
    </w:p>
    <w:p>
      <w:pPr>
        <w:pStyle w:val="ListBullet"/>
        <w:keepLines w:val="1"/>
        <w:widowControl w:val="1"/>
      </w:pPr>
      <w:r>
        <w:t>Fecha y autor(es)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3–4 bullets:</w:t>
      </w:r>
    </w:p>
    <w:p>
      <w:pPr>
        <w:pStyle w:val="ListBullet"/>
        <w:keepLines w:val="1"/>
        <w:keepNext w:val="1"/>
        <w:widowControl w:val="1"/>
      </w:pPr>
      <w:r>
        <w:t xml:space="preserve">IGM Global y dos frases interpretativas.  </w:t>
      </w:r>
    </w:p>
    <w:p>
      <w:pPr>
        <w:pStyle w:val="ListBullet"/>
        <w:keepLines w:val="1"/>
        <w:keepNext w:val="1"/>
        <w:widowControl w:val="1"/>
      </w:pPr>
      <w:r>
        <w:t xml:space="preserve">Principales fortalezas (2–3 bloques con mayor madurez).  </w:t>
      </w:r>
    </w:p>
    <w:p>
      <w:pPr>
        <w:pStyle w:val="ListBullet"/>
        <w:keepLines w:val="1"/>
        <w:keepNext w:val="1"/>
        <w:widowControl w:val="1"/>
      </w:pPr>
      <w:r>
        <w:t xml:space="preserve">Principales áreas de mejora (2–3 bloques con menor madurez).  </w:t>
      </w:r>
    </w:p>
    <w:p>
      <w:pPr>
        <w:pStyle w:val="ListBullet"/>
        <w:keepLines w:val="1"/>
        <w:widowControl w:val="1"/>
      </w:pPr>
      <w:r>
        <w:t>Mensaje final: “No es un suspenso, es una hoja de ruta”.</w:t>
      </w:r>
    </w:p>
    <w:p>
      <w:pPr>
        <w:pStyle w:val="Heading2"/>
        <w:keepNext/>
        <w:keepLines/>
      </w:pPr>
      <w:r>
        <w:rPr>
          <w:color w:val="0066CC"/>
        </w:rPr>
        <w:t>Diapositiva 3 – Qué es MITRE ATT&amp;CK (para humanos ocupados)</w:t>
      </w:r>
    </w:p>
    <w:p>
      <w:pPr>
        <w:pStyle w:val="ListBullet"/>
        <w:keepLines w:val="1"/>
        <w:keepNext w:val="1"/>
        <w:widowControl w:val="1"/>
      </w:pPr>
      <w:r>
        <w:t xml:space="preserve">Breve explicación (1–2 frases).  </w:t>
      </w:r>
    </w:p>
    <w:p>
      <w:pPr>
        <w:pStyle w:val="ListBullet"/>
        <w:keepLines w:val="1"/>
        <w:keepNext w:val="1"/>
        <w:widowControl w:val="1"/>
      </w:pPr>
      <w:r>
        <w:t>3 bullets:</w:t>
      </w:r>
    </w:p>
    <w:p>
      <w:pPr>
        <w:pStyle w:val="ListBullet"/>
        <w:keepLines w:val="1"/>
        <w:keepNext w:val="1"/>
        <w:widowControl w:val="1"/>
      </w:pPr>
      <w:r>
        <w:t xml:space="preserve">Base de conocimiento de tácticas y técnicas adversarias.[web:3][web:29]  </w:t>
      </w:r>
    </w:p>
    <w:p>
      <w:pPr>
        <w:pStyle w:val="ListBullet"/>
        <w:keepLines w:val="1"/>
        <w:keepNext w:val="1"/>
        <w:widowControl w:val="1"/>
      </w:pPr>
      <w:r>
        <w:t xml:space="preserve">Usado como referencia en evaluaciones de productos (MITRE 2025) y análisis de amenazas (ENISA).[web:16][web:22][web:66]  </w:t>
      </w:r>
    </w:p>
    <w:p>
      <w:pPr>
        <w:pStyle w:val="ListBullet"/>
        <w:keepLines w:val="1"/>
        <w:widowControl w:val="1"/>
      </w:pPr>
      <w:r>
        <w:t>Permite medir cobertura y capacidades con un lenguaje común.</w:t>
      </w:r>
    </w:p>
    <w:p>
      <w:pPr>
        <w:pStyle w:val="Heading2"/>
        <w:keepNext/>
        <w:keepLines/>
      </w:pPr>
      <w:r>
        <w:rPr>
          <w:color w:val="0066CC"/>
        </w:rPr>
        <w:t>Diapositiva 4 – Metodología de la encuesta</w:t>
      </w:r>
    </w:p>
    <w:p>
      <w:pPr>
        <w:pStyle w:val="ListBullet"/>
        <w:keepLines w:val="1"/>
        <w:keepNext w:val="1"/>
        <w:widowControl w:val="1"/>
      </w:pPr>
      <w:r>
        <w:t xml:space="preserve">Participantes (roles, áreas).  </w:t>
      </w:r>
    </w:p>
    <w:p>
      <w:pPr>
        <w:pStyle w:val="ListBullet"/>
        <w:keepLines w:val="1"/>
        <w:keepNext w:val="1"/>
        <w:widowControl w:val="1"/>
      </w:pPr>
      <w:r>
        <w:t>Enfoque:</w:t>
      </w:r>
    </w:p>
    <w:p>
      <w:pPr>
        <w:pStyle w:val="ListBullet"/>
        <w:keepLines w:val="1"/>
        <w:keepNext w:val="1"/>
        <w:widowControl w:val="1"/>
      </w:pPr>
      <w:r>
        <w:t xml:space="preserve">Cuestionario 0–5 alineado con bloques clave.  </w:t>
      </w:r>
    </w:p>
    <w:p>
      <w:pPr>
        <w:pStyle w:val="ListBullet"/>
        <w:keepLines w:val="1"/>
        <w:keepNext w:val="1"/>
        <w:widowControl w:val="1"/>
      </w:pPr>
      <w:r>
        <w:t xml:space="preserve">Datos complementarios (ejercicios, incidentes, evaluaciones).  </w:t>
      </w:r>
    </w:p>
    <w:p>
      <w:pPr>
        <w:pStyle w:val="ListBullet"/>
        <w:keepLines w:val="1"/>
        <w:widowControl w:val="1"/>
      </w:pPr>
      <w:r>
        <w:t>Advertencia simpática sobre el sesgo de optimismo.</w:t>
      </w:r>
    </w:p>
    <w:p>
      <w:pPr>
        <w:pStyle w:val="Heading2"/>
        <w:keepNext/>
        <w:keepLines/>
      </w:pPr>
      <w:r>
        <w:rPr>
          <w:color w:val="0066CC"/>
        </w:rPr>
        <w:t>Diapositiva 5 – IGM Global</w:t>
      </w:r>
    </w:p>
    <w:p>
      <w:pPr>
        <w:pStyle w:val="ListBullet"/>
        <w:keepLines w:val="1"/>
        <w:keepNext w:val="1"/>
        <w:widowControl w:val="1"/>
      </w:pPr>
      <w:r>
        <w:t xml:space="preserve">Mostrar IGM Global (número y gráfico simple de barra o velocímetro).  </w:t>
      </w:r>
    </w:p>
    <w:p>
      <w:pPr>
        <w:pStyle w:val="ListBullet"/>
        <w:keepLines w:val="1"/>
        <w:widowControl w:val="1"/>
      </w:pPr>
      <w:r>
        <w:t>Breve interpretación en 2–3 bullets.</w:t>
      </w:r>
    </w:p>
    <w:p>
      <w:pPr>
        <w:pStyle w:val="Heading2"/>
        <w:keepNext/>
        <w:keepLines/>
      </w:pPr>
      <w:r>
        <w:rPr>
          <w:color w:val="0066CC"/>
        </w:rPr>
        <w:t>Diapositiva 6 – IGM por bloque</w:t>
      </w:r>
    </w:p>
    <w:p>
      <w:pPr>
        <w:pStyle w:val="ListBullet"/>
        <w:keepLines w:val="1"/>
        <w:keepNext w:val="1"/>
        <w:widowControl w:val="1"/>
      </w:pPr>
      <w:r>
        <w:t>Gráfico de radar o barras con:</w:t>
      </w:r>
    </w:p>
    <w:p>
      <w:pPr>
        <w:pStyle w:val="ListBullet"/>
        <w:keepLines w:val="1"/>
        <w:keepNext w:val="1"/>
        <w:widowControl w:val="1"/>
      </w:pPr>
      <w:r>
        <w:t xml:space="preserve">Gobierno (G)  </w:t>
      </w:r>
    </w:p>
    <w:p>
      <w:pPr>
        <w:pStyle w:val="ListBullet"/>
        <w:keepLines w:val="1"/>
        <w:keepNext w:val="1"/>
        <w:widowControl w:val="1"/>
      </w:pPr>
      <w:r>
        <w:t xml:space="preserve">Cobertura (C)  </w:t>
      </w:r>
    </w:p>
    <w:p>
      <w:pPr>
        <w:pStyle w:val="ListBullet"/>
        <w:keepLines w:val="1"/>
        <w:keepNext w:val="1"/>
        <w:widowControl w:val="1"/>
      </w:pPr>
      <w:r>
        <w:t xml:space="preserve">Calidad detección (Q)  </w:t>
      </w:r>
    </w:p>
    <w:p>
      <w:pPr>
        <w:pStyle w:val="ListBullet"/>
        <w:keepLines w:val="1"/>
        <w:keepNext w:val="1"/>
        <w:widowControl w:val="1"/>
      </w:pPr>
      <w:r>
        <w:t xml:space="preserve">Tiempos (T)  </w:t>
      </w:r>
    </w:p>
    <w:p>
      <w:pPr>
        <w:pStyle w:val="ListBullet"/>
        <w:keepLines w:val="1"/>
        <w:keepNext w:val="1"/>
        <w:widowControl w:val="1"/>
      </w:pPr>
      <w:r>
        <w:t xml:space="preserve">Amenazas/CTI (A)  </w:t>
      </w:r>
    </w:p>
    <w:p>
      <w:pPr>
        <w:pStyle w:val="ListBullet"/>
        <w:keepLines w:val="1"/>
        <w:keepNext w:val="1"/>
        <w:widowControl w:val="1"/>
      </w:pPr>
      <w:r>
        <w:t xml:space="preserve">Integración (I)  </w:t>
      </w:r>
    </w:p>
    <w:p>
      <w:pPr>
        <w:pStyle w:val="ListBullet"/>
        <w:keepLines w:val="1"/>
        <w:keepNext w:val="1"/>
        <w:widowControl w:val="1"/>
      </w:pPr>
      <w:r>
        <w:t xml:space="preserve">Ejercicios (E)  </w:t>
      </w:r>
    </w:p>
    <w:p>
      <w:pPr>
        <w:pStyle w:val="ListBullet"/>
        <w:keepLines w:val="1"/>
        <w:keepNext w:val="1"/>
        <w:widowControl w:val="1"/>
      </w:pPr>
      <w:r>
        <w:t xml:space="preserve">Economía (F)  </w:t>
      </w:r>
    </w:p>
    <w:p>
      <w:pPr>
        <w:pStyle w:val="ListBullet"/>
        <w:keepLines w:val="1"/>
        <w:keepNext w:val="1"/>
        <w:widowControl w:val="1"/>
      </w:pPr>
      <w:r>
        <w:br/>
        <w:t>Cultura (H)</w:t>
        <w:br/>
      </w:r>
    </w:p>
    <w:p>
      <w:pPr>
        <w:pStyle w:val="ListBullet"/>
        <w:keepLines w:val="1"/>
        <w:widowControl w:val="1"/>
      </w:pPr>
      <w:r>
        <w:br/>
        <w:t>2–3 bullets comentando extremos (mejor/peor).</w:t>
        <w:br/>
      </w:r>
    </w:p>
    <w:p>
      <w:r>
        <w:t>Cultura (H)</w:t>
      </w:r>
    </w:p>
    <w:p>
      <w:r>
        <w:t>2–3 bullets comentando extremos (mejor/peor).</w:t>
      </w:r>
    </w:p>
    <w:p>
      <w:pPr>
        <w:pStyle w:val="Heading2"/>
        <w:keepNext/>
        <w:keepLines/>
      </w:pPr>
      <w:r>
        <w:rPr>
          <w:color w:val="0066CC"/>
        </w:rPr>
        <w:t>Diapositiva 7 – Cobertura ATT&amp;CK</w:t>
      </w:r>
    </w:p>
    <w:p>
      <w:pPr>
        <w:pStyle w:val="ListBullet"/>
        <w:keepLines w:val="1"/>
        <w:keepNext w:val="1"/>
        <w:widowControl w:val="1"/>
      </w:pPr>
      <w:r>
        <w:t>Tabla o gráfico:</w:t>
      </w:r>
    </w:p>
    <w:p>
      <w:pPr>
        <w:pStyle w:val="ListBullet"/>
        <w:keepLines w:val="1"/>
        <w:keepNext w:val="1"/>
        <w:widowControl w:val="1"/>
      </w:pPr>
      <w:r>
        <w:t xml:space="preserve">% tácticas cubiertas.  </w:t>
      </w:r>
    </w:p>
    <w:p>
      <w:pPr>
        <w:pStyle w:val="ListBullet"/>
        <w:keepLines w:val="1"/>
        <w:keepNext w:val="1"/>
        <w:widowControl w:val="1"/>
      </w:pPr>
      <w:r>
        <w:t xml:space="preserve">% técnicas cubiertas.  </w:t>
      </w:r>
    </w:p>
    <w:p>
      <w:pPr>
        <w:pStyle w:val="ListBullet"/>
        <w:keepLines w:val="1"/>
        <w:keepNext w:val="1"/>
        <w:widowControl w:val="1"/>
      </w:pPr>
      <w:r>
        <w:br/>
        <w:t>Brecha entre cobertura declarada y validada.</w:t>
        <w:br/>
      </w:r>
    </w:p>
    <w:p>
      <w:pPr>
        <w:pStyle w:val="ListBullet"/>
        <w:keepLines w:val="1"/>
        <w:widowControl w:val="1"/>
      </w:pPr>
      <w:r>
        <w:br/>
        <w:t>Comentario sobre comparación con buenas prácticas (sin nombrar terceros, pero inspirándose en niveles mostrados por evaluaciones 2025).[web:16][web:22][web:64]</w:t>
        <w:br/>
      </w:r>
    </w:p>
    <w:p>
      <w:r>
        <w:t>Brecha entre cobertura declarada y validada.</w:t>
      </w:r>
    </w:p>
    <w:p>
      <w:r>
        <w:t>Comentario sobre comparación con buenas prácticas (sin nombrar terceros, pero inspirándose en niveles mostrados por evaluaciones 2025).[web:16][web:22][web:64]</w:t>
      </w:r>
    </w:p>
    <w:p>
      <w:pPr>
        <w:pStyle w:val="Heading2"/>
        <w:keepNext/>
        <w:keepLines/>
      </w:pPr>
      <w:r>
        <w:rPr>
          <w:color w:val="0066CC"/>
        </w:rPr>
        <w:t>Diapositiva 8 – Métricas temporales (MTTD, MTTC, MTTR)</w:t>
      </w:r>
    </w:p>
    <w:p>
      <w:pPr>
        <w:pStyle w:val="ListBullet"/>
        <w:keepLines w:val="1"/>
        <w:keepNext w:val="1"/>
        <w:widowControl w:val="1"/>
      </w:pPr>
      <w:r>
        <w:t>Tabla:</w:t>
      </w:r>
    </w:p>
    <w:p>
      <w:pPr>
        <w:pStyle w:val="ListBullet"/>
        <w:keepLines w:val="1"/>
        <w:keepNext w:val="1"/>
        <w:widowControl w:val="1"/>
      </w:pPr>
      <w:r>
        <w:t xml:space="preserve">MTTD medio (global y para 2–3 tácticas críticas).  </w:t>
      </w:r>
    </w:p>
    <w:p>
      <w:pPr>
        <w:pStyle w:val="ListBullet"/>
        <w:keepLines w:val="1"/>
        <w:keepNext w:val="1"/>
        <w:widowControl w:val="1"/>
      </w:pPr>
      <w:r>
        <w:br/>
        <w:t>MTTC y MTTR en incidentes recientes o simulados.[web:26][web:60][web:66]</w:t>
        <w:br/>
      </w:r>
    </w:p>
    <w:p>
      <w:pPr>
        <w:pStyle w:val="ListBullet"/>
        <w:keepLines w:val="1"/>
        <w:widowControl w:val="1"/>
      </w:pPr>
      <w:r>
        <w:br/>
        <w:t>Bullet sobre impacto potencial en reducción de riesgo si se mejoran estos tiempos.</w:t>
        <w:br/>
      </w:r>
    </w:p>
    <w:p>
      <w:r>
        <w:t>MTTC y MTTR en incidentes recientes o simulados.[web:26][web:60][web:66]</w:t>
      </w:r>
    </w:p>
    <w:p>
      <w:r>
        <w:t>Bullet sobre impacto potencial en reducción de riesgo si se mejoran estos tiempos.</w:t>
      </w:r>
    </w:p>
    <w:p>
      <w:pPr>
        <w:pStyle w:val="Heading2"/>
        <w:keepNext/>
        <w:keepLines/>
      </w:pPr>
      <w:r>
        <w:rPr>
          <w:color w:val="0066CC"/>
        </w:rPr>
        <w:t>Diapositiva 9 – Amenazas y ENISA / panorama europeo</w:t>
      </w:r>
    </w:p>
    <w:p>
      <w:pPr>
        <w:pStyle w:val="ListBullet"/>
        <w:keepLines w:val="1"/>
        <w:keepNext w:val="1"/>
        <w:widowControl w:val="1"/>
      </w:pPr>
      <w:r>
        <w:t>3–4 bullets:</w:t>
      </w:r>
    </w:p>
    <w:p>
      <w:pPr>
        <w:pStyle w:val="ListBullet"/>
        <w:keepLines w:val="1"/>
        <w:keepNext w:val="1"/>
        <w:widowControl w:val="1"/>
      </w:pPr>
      <w:r>
        <w:t xml:space="preserve">Tácticas/TTP más relevantes en el sector según ENISA 2025.[web:66][web:61][web:63]  </w:t>
      </w:r>
    </w:p>
    <w:p>
      <w:pPr>
        <w:pStyle w:val="ListBullet"/>
        <w:keepLines w:val="1"/>
        <w:keepNext w:val="1"/>
        <w:widowControl w:val="1"/>
      </w:pPr>
      <w:r>
        <w:t xml:space="preserve">Tácticas en las que la organización está más fuerte.  </w:t>
      </w:r>
    </w:p>
    <w:p>
      <w:pPr>
        <w:pStyle w:val="ListBullet"/>
        <w:keepLines w:val="1"/>
        <w:widowControl w:val="1"/>
      </w:pPr>
      <w:r>
        <w:t>Tácticas donde hay brecha clara.</w:t>
      </w:r>
    </w:p>
    <w:p>
      <w:pPr>
        <w:pStyle w:val="Heading2"/>
        <w:keepNext/>
        <w:keepLines/>
      </w:pPr>
      <w:r>
        <w:rPr>
          <w:color w:val="0066CC"/>
        </w:rPr>
        <w:t>Diapositiva 10 – Iniciativas priorizadas</w:t>
      </w:r>
    </w:p>
    <w:p>
      <w:pPr>
        <w:pStyle w:val="ListBullet"/>
        <w:keepLines w:val="1"/>
        <w:keepNext w:val="1"/>
        <w:widowControl w:val="1"/>
      </w:pPr>
      <w:r>
        <w:t>Tabla de 4–6 iniciativas:</w:t>
      </w:r>
    </w:p>
    <w:p>
      <w:pPr>
        <w:pStyle w:val="ListBullet"/>
        <w:keepLines w:val="1"/>
        <w:keepNext w:val="1"/>
        <w:widowControl w:val="1"/>
      </w:pPr>
      <w:r>
        <w:t xml:space="preserve">Nombre.  </w:t>
      </w:r>
    </w:p>
    <w:p>
      <w:pPr>
        <w:pStyle w:val="ListBullet"/>
        <w:keepLines w:val="1"/>
        <w:keepNext w:val="1"/>
        <w:widowControl w:val="1"/>
      </w:pPr>
      <w:r>
        <w:t xml:space="preserve">Bloques afectados.  </w:t>
      </w:r>
    </w:p>
    <w:p>
      <w:pPr>
        <w:pStyle w:val="ListBullet"/>
        <w:keepLines w:val="1"/>
        <w:keepNext w:val="1"/>
        <w:widowControl w:val="1"/>
      </w:pPr>
      <w:r>
        <w:t xml:space="preserve">ΔIGM previsto.  </w:t>
      </w:r>
    </w:p>
    <w:p>
      <w:pPr>
        <w:pStyle w:val="ListBullet"/>
        <w:keepLines w:val="1"/>
        <w:widowControl w:val="1"/>
      </w:pPr>
      <w:r>
        <w:t>ROI estimado (alto/medio/bajo).</w:t>
      </w:r>
    </w:p>
    <w:p>
      <w:pPr>
        <w:pStyle w:val="Heading2"/>
        <w:keepNext/>
        <w:keepLines/>
      </w:pPr>
      <w:r>
        <w:rPr>
          <w:color w:val="0066CC"/>
        </w:rPr>
        <w:t>Diapositiva 11 – Roadmap 12–24 meses</w:t>
      </w:r>
    </w:p>
    <w:p>
      <w:pPr>
        <w:pStyle w:val="ListBullet"/>
        <w:keepLines w:val="1"/>
        <w:keepNext w:val="1"/>
        <w:widowControl w:val="1"/>
      </w:pPr>
      <w:r>
        <w:t>Línea de tiempo con hitos:</w:t>
      </w:r>
    </w:p>
    <w:p>
      <w:pPr>
        <w:pStyle w:val="ListBullet"/>
        <w:keepLines w:val="1"/>
        <w:keepNext w:val="1"/>
        <w:widowControl w:val="1"/>
      </w:pPr>
      <w:r>
        <w:t xml:space="preserve">Quick wins (0–6 meses).  </w:t>
      </w:r>
    </w:p>
    <w:p>
      <w:pPr>
        <w:pStyle w:val="ListBullet"/>
        <w:keepLines w:val="1"/>
        <w:keepNext w:val="1"/>
        <w:widowControl w:val="1"/>
      </w:pPr>
      <w:r>
        <w:t xml:space="preserve">Proyectos estructurales (6–18 meses).  </w:t>
      </w:r>
    </w:p>
    <w:p>
      <w:pPr>
        <w:pStyle w:val="ListBullet"/>
        <w:keepLines w:val="1"/>
        <w:widowControl w:val="1"/>
      </w:pPr>
      <w:r>
        <w:t>Optimización continua (18+ meses).</w:t>
      </w:r>
    </w:p>
    <w:p>
      <w:pPr>
        <w:pStyle w:val="Heading2"/>
        <w:keepNext/>
        <w:keepLines/>
      </w:pPr>
      <w:r>
        <w:rPr>
          <w:color w:val="0066CC"/>
        </w:rPr>
        <w:t>Diapositiva 12 – Mensaje de cierre</w:t>
      </w:r>
    </w:p>
    <w:p>
      <w:pPr>
        <w:pStyle w:val="ListBullet"/>
        <w:keepLines w:val="1"/>
        <w:keepNext w:val="1"/>
        <w:widowControl w:val="1"/>
      </w:pPr>
      <w:r>
        <w:t>3 bullets claros:</w:t>
      </w:r>
    </w:p>
    <w:p>
      <w:pPr>
        <w:pStyle w:val="ListBullet"/>
        <w:keepLines w:val="1"/>
        <w:keepNext w:val="1"/>
        <w:widowControl w:val="1"/>
      </w:pPr>
      <w:r>
        <w:t xml:space="preserve">“No se trata de cubrir todas las casillas, sino las que importan”.  </w:t>
      </w:r>
    </w:p>
    <w:p>
      <w:pPr>
        <w:pStyle w:val="ListBullet"/>
        <w:keepLines w:val="1"/>
        <w:keepNext w:val="1"/>
        <w:widowControl w:val="1"/>
      </w:pPr>
      <w:r>
        <w:t xml:space="preserve">“Medir para mejorar, no para decorar informes”.  </w:t>
      </w:r>
    </w:p>
    <w:p>
      <w:pPr>
        <w:pStyle w:val="ListBullet"/>
        <w:keepLines w:val="1"/>
        <w:widowControl w:val="1"/>
      </w:pPr>
      <w:r>
        <w:t>“ATT&amp;CK como idioma común entre técnica, riesgo y negocio”.</w:t>
      </w:r>
    </w:p>
    <w:p>
      <w:pPr>
        <w:pStyle w:val="Heading2"/>
        <w:keepNext/>
        <w:keepLines/>
      </w:pPr>
      <w:r>
        <w:rPr>
          <w:color w:val="0066CC"/>
        </w:rPr>
        <w:t>Notas de estilo</w:t>
      </w:r>
    </w:p>
    <w:p>
      <w:pPr>
        <w:pStyle w:val="ListBullet"/>
        <w:keepLines w:val="1"/>
        <w:keepNext w:val="1"/>
        <w:widowControl w:val="1"/>
      </w:pPr>
      <w:r>
        <w:t xml:space="preserve">Lenguaje sobrio pero accesible; evitar jerga excesiva.  </w:t>
      </w:r>
    </w:p>
    <w:p>
      <w:pPr>
        <w:pStyle w:val="ListBullet"/>
        <w:keepLines w:val="1"/>
        <w:keepNext w:val="1"/>
        <w:widowControl w:val="1"/>
      </w:pPr>
      <w:r>
        <w:t xml:space="preserve">Evitar cuadros abarrotados; mejor pocas ideas por diapositiva.  </w:t>
      </w:r>
    </w:p>
    <w:p>
      <w:pPr>
        <w:pStyle w:val="ListBullet"/>
        <w:keepLines w:val="1"/>
        <w:widowControl w:val="1"/>
      </w:pPr>
      <w:r>
        <w:t>Mantener coherencia visual con plantillas corporativas.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