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de Madurez MITRE ATT&amp;CK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Este kit incluye:</w:t>
      </w:r>
    </w:p>
    <w:p>
      <w:pPr>
        <w:pStyle w:val="ListBullet"/>
        <w:keepLines w:val="1"/>
        <w:keepNext w:val="1"/>
        <w:widowControl w:val="1"/>
      </w:pPr>
      <w:r>
        <w:t xml:space="preserve">modelo_encuesta_mitre_attack.md </w:t>
      </w:r>
    </w:p>
    <w:p>
      <w:pPr>
        <w:pStyle w:val="ListBullet"/>
        <w:keepLines w:val="1"/>
        <w:keepNext w:val="1"/>
        <w:widowControl w:val="1"/>
      </w:pPr>
      <w:r>
        <w:t xml:space="preserve">guia_metodologica_encuesta_mitre_attack.md </w:t>
      </w:r>
    </w:p>
    <w:p>
      <w:pPr>
        <w:pStyle w:val="ListBullet"/>
        <w:keepLines w:val="1"/>
        <w:keepNext w:val="1"/>
        <w:widowControl w:val="1"/>
      </w:pPr>
      <w:r>
        <w:t xml:space="preserve">narrativa_explicativa_encuesta_mitre_attack.md </w:t>
      </w:r>
    </w:p>
    <w:p>
      <w:pPr>
        <w:pStyle w:val="ListBullet"/>
        <w:keepLines w:val="1"/>
        <w:keepNext w:val="1"/>
        <w:widowControl w:val="1"/>
      </w:pPr>
      <w:r>
        <w:t xml:space="preserve">mapeo_preguntas_normativa_mitre_attack.md </w:t>
      </w:r>
    </w:p>
    <w:p>
      <w:pPr>
        <w:pStyle w:val="ListBullet"/>
        <w:keepLines w:val="1"/>
        <w:keepNext w:val="1"/>
        <w:widowControl w:val="1"/>
      </w:pPr>
      <w:r>
        <w:t xml:space="preserve">plantilla_excel_igm_roi_mitre_attack.md </w:t>
      </w:r>
    </w:p>
    <w:p>
      <w:pPr>
        <w:pStyle w:val="ListBullet"/>
        <w:keepLines w:val="1"/>
        <w:widowControl w:val="1"/>
      </w:pPr>
      <w:r>
        <w:t>plantilla_reporte_ejecutivo_ppt_mitre_attack.md</w:t>
      </w:r>
    </w:p>
    <w:p>
      <w:pPr>
        <w:pStyle w:val="Heading2"/>
        <w:keepNext/>
        <w:keepLines/>
      </w:pPr>
      <w:r>
        <w:rPr>
          <w:color w:val="0066CC"/>
        </w:rPr>
        <w:t>2. Objetivo</w:t>
      </w:r>
    </w:p>
    <w:p>
      <w:r>
        <w:t>Permitir a una organización:</w:t>
      </w:r>
    </w:p>
    <w:p>
      <w:pPr>
        <w:pStyle w:val="ListBullet"/>
        <w:keepLines w:val="1"/>
        <w:keepNext w:val="1"/>
        <w:widowControl w:val="1"/>
      </w:pPr>
      <w:r>
        <w:t xml:space="preserve">Evaluar su madurez en el uso de MITRE ATT&amp;CK para detección, respuesta y gobierno.  </w:t>
      </w:r>
    </w:p>
    <w:p>
      <w:pPr>
        <w:pStyle w:val="ListBullet"/>
        <w:keepLines w:val="1"/>
        <w:keepNext w:val="1"/>
        <w:widowControl w:val="1"/>
      </w:pPr>
      <w:r>
        <w:t xml:space="preserve">Medir cobertura, calidad de detecciones y tiempos de reacción.  </w:t>
      </w:r>
    </w:p>
    <w:p>
      <w:pPr>
        <w:pStyle w:val="ListBullet"/>
        <w:keepLines w:val="1"/>
        <w:widowControl w:val="1"/>
      </w:pPr>
      <w:r>
        <w:t>Conectar estos resultados con riesgos, inversión y retorno.[web:16][web:22][web:66]</w:t>
      </w:r>
    </w:p>
    <w:p>
      <w:pPr>
        <w:pStyle w:val="Heading2"/>
        <w:keepNext/>
        <w:keepLines/>
      </w:pPr>
      <w:r>
        <w:rPr>
          <w:color w:val="0066CC"/>
        </w:rPr>
        <w:t>3. Uso recomendado</w:t>
      </w:r>
    </w:p>
    <w:p>
      <w:pPr>
        <w:pStyle w:val="ListNumber"/>
        <w:keepLines w:val="1"/>
        <w:keepNext w:val="1"/>
        <w:widowControl w:val="1"/>
      </w:pPr>
      <w:r>
        <w:t xml:space="preserve">Adaptar la encuesta a la realidad de la organización (añadir/quitar preguntas, ajustar escala).  </w:t>
      </w:r>
    </w:p>
    <w:p>
      <w:pPr>
        <w:pStyle w:val="ListNumber"/>
        <w:keepLines w:val="1"/>
        <w:keepNext w:val="1"/>
        <w:widowControl w:val="1"/>
      </w:pPr>
      <w:r>
        <w:t xml:space="preserve">Distribuirla a los responsables clave (CISO, SOC, CTI, riesgos, negocio crítico).  </w:t>
      </w:r>
    </w:p>
    <w:p>
      <w:pPr>
        <w:pStyle w:val="ListNumber"/>
        <w:keepLines w:val="1"/>
        <w:keepNext w:val="1"/>
        <w:widowControl w:val="1"/>
      </w:pPr>
      <w:r>
        <w:t xml:space="preserve">Consolidar respuestas en la plantilla de Excel descrita.  </w:t>
      </w:r>
    </w:p>
    <w:p>
      <w:pPr>
        <w:pStyle w:val="ListNumber"/>
        <w:keepLines w:val="1"/>
        <w:keepNext w:val="1"/>
        <w:widowControl w:val="1"/>
      </w:pPr>
      <w:r>
        <w:t xml:space="preserve">Calcular IGM y ROI de iniciativas clave.  </w:t>
      </w:r>
    </w:p>
    <w:p>
      <w:pPr>
        <w:pStyle w:val="ListNumber"/>
        <w:keepLines w:val="1"/>
        <w:widowControl w:val="1"/>
      </w:pPr>
      <w:r>
        <w:t xml:space="preserve">Generar el reporte ejecutivo siguiendo la plantilla de PowerPoint.  </w:t>
      </w:r>
    </w:p>
    <w:p>
      <w:pPr>
        <w:pStyle w:val="Heading2"/>
        <w:keepNext/>
        <w:keepLines/>
      </w:pPr>
      <w:r>
        <w:rPr>
          <w:color w:val="0066CC"/>
        </w:rPr>
        <w:t>4. Integración con otros marcos</w:t>
      </w:r>
    </w:p>
    <w:p>
      <w:r>
        <w:t>Este kit está diseñado para convivir con:</w:t>
      </w:r>
    </w:p>
    <w:p>
      <w:pPr>
        <w:pStyle w:val="ListBullet"/>
        <w:keepLines w:val="1"/>
        <w:keepNext w:val="1"/>
        <w:widowControl w:val="1"/>
      </w:pPr>
      <w:r>
        <w:t xml:space="preserve">NIST CSF 2.0, como marco de gestión y gobierno de la ciberseguridad.[web:52][web:48]  </w:t>
      </w:r>
    </w:p>
    <w:p>
      <w:pPr>
        <w:pStyle w:val="ListBullet"/>
        <w:keepLines w:val="1"/>
        <w:keepNext w:val="1"/>
        <w:widowControl w:val="1"/>
      </w:pPr>
      <w:r>
        <w:t xml:space="preserve">ISO 27001 y ENS, como marcos de control y cumplimiento.  </w:t>
      </w:r>
    </w:p>
    <w:p>
      <w:pPr>
        <w:pStyle w:val="ListBullet"/>
        <w:keepLines w:val="1"/>
        <w:widowControl w:val="1"/>
      </w:pPr>
      <w:r>
        <w:t>ENISA Threat Landscape 2025 y marcos europeos de resiliencia (NIS2, DORA).[web:66][web:43][web:61]</w:t>
      </w:r>
    </w:p>
    <w:p>
      <w:pPr>
        <w:pStyle w:val="Heading2"/>
        <w:keepNext/>
        <w:keepLines/>
      </w:pPr>
      <w:r>
        <w:rPr>
          <w:color w:val="0066CC"/>
        </w:rPr>
        <w:t>5. Personalización</w:t>
      </w:r>
    </w:p>
    <w:p>
      <w:r>
        <w:t>Se recomienda:</w:t>
      </w:r>
    </w:p>
    <w:p>
      <w:pPr>
        <w:pStyle w:val="ListBullet"/>
        <w:keepLines w:val="1"/>
        <w:keepNext w:val="1"/>
        <w:widowControl w:val="1"/>
      </w:pPr>
      <w:r>
        <w:t xml:space="preserve">Ajustar pesos de bloques en el cálculo de IGM según el contexto.  </w:t>
      </w:r>
    </w:p>
    <w:p>
      <w:pPr>
        <w:pStyle w:val="ListBullet"/>
        <w:keepLines w:val="1"/>
        <w:keepNext w:val="1"/>
        <w:widowControl w:val="1"/>
      </w:pPr>
      <w:r>
        <w:t xml:space="preserve">Incorporar técnicas ATT&amp;CK específicas relevantes para el sector (p. ej., OT, administración).  </w:t>
      </w:r>
    </w:p>
    <w:p>
      <w:pPr>
        <w:pStyle w:val="ListBullet"/>
        <w:keepLines w:val="1"/>
        <w:widowControl w:val="1"/>
      </w:pPr>
      <w:r>
        <w:t>Añadir métricas propias (p. ej., relación entre incidentes con TTP MITRE y pérdidas reales).</w:t>
      </w:r>
    </w:p>
    <w:p>
      <w:pPr>
        <w:pStyle w:val="Heading2"/>
        <w:keepNext/>
        <w:keepLines/>
      </w:pPr>
      <w:r>
        <w:rPr>
          <w:color w:val="0066CC"/>
        </w:rPr>
        <w:t>6. Licencia de uso</w:t>
      </w:r>
    </w:p>
    <w:p>
      <w:r>
        <w:t>El contenido puede adaptarse y reutilizarse internamente.</w:t>
      </w:r>
      <w:r/>
      <w:r>
        <w:br/>
        <w:t xml:space="preserve">Al integrarlo en políticas o documentación formal, se sugiere mencionar la referencia a MITRE ATT&amp;CK y las fuentes de buenas prácticas (ENISA, evaluaciones ATT&amp;CK, NIST CSF).  </w:t>
      </w:r>
    </w:p>
    <w:p>
      <w:pPr>
        <w:pStyle w:val="Heading2"/>
        <w:keepNext/>
        <w:keepLines/>
      </w:pPr>
      <w:r>
        <w:rPr>
          <w:color w:val="0066CC"/>
        </w:rPr>
        <w:t>7. Contacto y mejoras</w:t>
      </w:r>
    </w:p>
    <w:p>
      <w:r>
        <w:t>Se anima a los usuarios del kit a:</w:t>
      </w:r>
    </w:p>
    <w:p>
      <w:pPr>
        <w:pStyle w:val="ListBullet"/>
        <w:keepLines w:val="1"/>
        <w:keepNext w:val="1"/>
        <w:widowControl w:val="1"/>
      </w:pPr>
      <w:r>
        <w:t xml:space="preserve">Documentar lecciones aprendidas.  </w:t>
      </w:r>
    </w:p>
    <w:p>
      <w:pPr>
        <w:pStyle w:val="ListBullet"/>
        <w:keepLines w:val="1"/>
        <w:keepNext w:val="1"/>
        <w:widowControl w:val="1"/>
      </w:pPr>
      <w:r>
        <w:t xml:space="preserve">Ajustar preguntas según la madurez de su SOC y su entorno regulatorio.  </w:t>
      </w:r>
    </w:p>
    <w:p>
      <w:pPr>
        <w:pStyle w:val="ListBullet"/>
        <w:keepLines w:val="1"/>
        <w:widowControl w:val="1"/>
      </w:pPr>
      <w:r>
        <w:t>Compartir internamente las mejoras para evolucionar hacia un modelo de madurez propio y sostenible.</w:t>
      </w:r>
    </w:p>
    <w:p>
      <w:r>
        <w:t>Porque, al final, la matriz no es un fin en sí misma, sino una forma elegante de recordar que el adversario también tiene su propio plan de proyecto.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