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– Kit GQM + PRAGMATIC para Indicadores MITRE ATT&amp;CK</w:t>
      </w:r>
    </w:p>
    <w:p>
      <w:pPr>
        <w:pStyle w:val="Heading2"/>
        <w:keepNext/>
        <w:keepLines/>
      </w:pPr>
      <w:r>
        <w:rPr>
          <w:color w:val="0066CC"/>
        </w:rPr>
        <w:t>1. Contenido del kit</w:t>
      </w:r>
    </w:p>
    <w:p>
      <w:r>
        <w:t>El kit incluye los siguientes archivos en formato Markdown:</w:t>
      </w:r>
    </w:p>
    <w:p>
      <w:pPr>
        <w:pStyle w:val="ListBullet"/>
        <w:keepLines w:val="1"/>
        <w:keepNext w:val="1"/>
        <w:widowControl w:val="1"/>
      </w:pPr>
      <w:r>
        <w:t xml:space="preserve">marco_integrativo_gqm_pragmatic.md </w:t>
      </w:r>
    </w:p>
    <w:p>
      <w:pPr>
        <w:pStyle w:val="ListBullet"/>
        <w:keepLines w:val="1"/>
        <w:keepNext w:val="1"/>
        <w:widowControl w:val="1"/>
      </w:pPr>
      <w:r>
        <w:t xml:space="preserve">matriz_evaluacion_pragmatic_completa.md </w:t>
      </w:r>
    </w:p>
    <w:p>
      <w:pPr>
        <w:pStyle w:val="ListBullet"/>
        <w:keepLines w:val="1"/>
        <w:keepNext w:val="1"/>
        <w:widowControl w:val="1"/>
      </w:pPr>
      <w:r>
        <w:t xml:space="preserve">narrativa_explicativa_gqm_pragmatic_mitre_attack.md </w:t>
      </w:r>
    </w:p>
    <w:p>
      <w:pPr>
        <w:pStyle w:val="ListBullet"/>
        <w:keepLines w:val="1"/>
        <w:keepNext w:val="1"/>
        <w:widowControl w:val="1"/>
      </w:pPr>
      <w:r>
        <w:t xml:space="preserve">mapeo_preguntas_normativa_gqm_pragmatic_mitre_attack.md </w:t>
      </w:r>
    </w:p>
    <w:p>
      <w:pPr>
        <w:pStyle w:val="ListBullet"/>
        <w:keepLines w:val="1"/>
        <w:keepNext w:val="1"/>
        <w:widowControl w:val="1"/>
      </w:pPr>
      <w:r>
        <w:t xml:space="preserve">plantilla_excel_igm_roi_gqm_pragmatic_mitre_attack.md </w:t>
      </w:r>
    </w:p>
    <w:p>
      <w:pPr>
        <w:pStyle w:val="ListBullet"/>
        <w:keepLines w:val="1"/>
        <w:widowControl w:val="1"/>
      </w:pPr>
      <w:r>
        <w:t>plantilla_reporte_ejecutivo_ppt_gqm_pragmatic_mitre_attack.md</w:t>
      </w:r>
    </w:p>
    <w:p>
      <w:pPr>
        <w:pStyle w:val="Heading2"/>
        <w:keepNext/>
        <w:keepLines/>
      </w:pPr>
      <w:r>
        <w:rPr>
          <w:color w:val="0066CC"/>
        </w:rPr>
        <w:t>2. Objetivo del kit</w:t>
      </w:r>
    </w:p>
    <w:p>
      <w:r>
        <w:t>Este kit está diseñado para:</w:t>
      </w:r>
    </w:p>
    <w:p>
      <w:pPr>
        <w:pStyle w:val="ListBullet"/>
        <w:keepLines w:val="1"/>
        <w:keepNext w:val="1"/>
        <w:widowControl w:val="1"/>
      </w:pPr>
      <w:r>
        <w:t xml:space="preserve">Traducir objetivos nacionales y sectoriales de ciberseguridad en métricas concretas basadas en MITRE ATT&amp;CK.  </w:t>
      </w:r>
    </w:p>
    <w:p>
      <w:pPr>
        <w:pStyle w:val="ListBullet"/>
        <w:keepLines w:val="1"/>
        <w:keepNext w:val="1"/>
        <w:widowControl w:val="1"/>
      </w:pPr>
      <w:r>
        <w:t xml:space="preserve">Evaluar la calidad de estas métricas mediante el marco PRAGMATIC.  </w:t>
      </w:r>
    </w:p>
    <w:p>
      <w:pPr>
        <w:pStyle w:val="ListBullet"/>
        <w:keepLines w:val="1"/>
        <w:widowControl w:val="1"/>
      </w:pPr>
      <w:r>
        <w:t>Integrar los resultados en un Índice Global de Madurez (IGM) y en modelos de ROI que faciliten la toma de decisiones a alto nivel.[web:66][web:16][web:50]</w:t>
      </w:r>
    </w:p>
    <w:p>
      <w:pPr>
        <w:pStyle w:val="Heading2"/>
        <w:keepNext/>
        <w:keepLines/>
      </w:pPr>
      <w:r>
        <w:rPr>
          <w:color w:val="0066CC"/>
        </w:rPr>
        <w:t>3. Cómo usar el kit</w:t>
      </w:r>
    </w:p>
    <w:p>
      <w:pPr>
        <w:pStyle w:val="ListNumber"/>
        <w:keepLines w:val="1"/>
        <w:keepNext w:val="1"/>
        <w:widowControl w:val="1"/>
      </w:pPr>
      <w:r>
        <w:t xml:space="preserve">Definir el contexto: </w:t>
      </w:r>
    </w:p>
    <w:p>
      <w:pPr>
        <w:pStyle w:val="ListNumber"/>
        <w:keepLines w:val="1"/>
        <w:keepNext w:val="1"/>
        <w:widowControl w:val="1"/>
      </w:pPr>
      <w:r>
        <w:br/>
        <w:t xml:space="preserve">País, sector, alcance (por ejemplo, infraestructuras críticas, administración general).  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Seleccionar indicadores prioritarios: 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Partiendo de la matriz, escoger 5–7 métricas con mejor combinación de relevancia y accionabilidad (según PRAGMATIC).  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Configurar la plantilla Excel: </w:t>
        <w:br/>
      </w:r>
    </w:p>
    <w:p>
      <w:pPr>
        <w:pStyle w:val="ListNumber"/>
        <w:keepLines w:val="1"/>
        <w:keepNext w:val="1"/>
        <w:widowControl w:val="1"/>
      </w:pPr>
      <w:r>
        <w:t xml:space="preserve">Introducir valores actuales y objetivos para cada métrica.  </w:t>
      </w:r>
    </w:p>
    <w:p>
      <w:pPr>
        <w:pStyle w:val="ListNumber"/>
        <w:keepLines w:val="1"/>
        <w:keepNext w:val="1"/>
        <w:widowControl w:val="1"/>
      </w:pPr>
      <w:r>
        <w:br/>
        <w:t xml:space="preserve">Ajustar pesos GQM y PRAGMATIC según prioridades políticas y técnicas.  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Calcular IGM y ROI: 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Usar las fórmulas descritas para obtener IGM Global y ROI por iniciativa.  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Generar el reporte ejecutivo: </w:t>
        <w:br/>
      </w:r>
    </w:p>
    <w:p>
      <w:pPr>
        <w:pStyle w:val="ListNumber"/>
        <w:keepLines w:val="1"/>
        <w:widowControl w:val="1"/>
      </w:pPr>
      <w:r>
        <w:t xml:space="preserve">Rellenar la estructura de PowerPoint con gráficos y tablas desde Excel.  </w:t>
      </w:r>
    </w:p>
    <w:p>
      <w:r>
        <w:t xml:space="preserve">País, sector, alcance (por ejemplo, infraestructuras críticas, administración general).  </w:t>
      </w:r>
    </w:p>
    <w:p>
      <w:r>
        <w:rPr>
          <w:b/>
        </w:rPr>
        <w:t>Seleccionar indicadores prioritarios:</w:t>
      </w:r>
      <w:r>
        <w:t xml:space="preserve"> </w:t>
      </w:r>
    </w:p>
    <w:p>
      <w:r>
        <w:t xml:space="preserve">Partiendo de la matriz, escoger 5–7 métricas con mejor combinación de relevancia y accionabilidad (según PRAGMATIC).  </w:t>
      </w:r>
    </w:p>
    <w:p>
      <w:r>
        <w:rPr>
          <w:b/>
        </w:rPr>
        <w:t>Configurar la plantilla Excel:</w:t>
      </w:r>
      <w:r>
        <w:t xml:space="preserve"> </w:t>
      </w:r>
    </w:p>
    <w:p>
      <w:r>
        <w:t xml:space="preserve">Ajustar pesos GQM y PRAGMATIC según prioridades políticas y técnicas.  </w:t>
      </w:r>
    </w:p>
    <w:p>
      <w:r>
        <w:rPr>
          <w:b/>
        </w:rPr>
        <w:t>Calcular IGM y ROI:</w:t>
      </w:r>
      <w:r>
        <w:t xml:space="preserve"> </w:t>
      </w:r>
    </w:p>
    <w:p>
      <w:r>
        <w:t xml:space="preserve">Usar las fórmulas descritas para obtener IGM Global y ROI por iniciativa.  </w:t>
      </w:r>
    </w:p>
    <w:p>
      <w:r>
        <w:rPr>
          <w:b/>
        </w:rPr>
        <w:t>Generar el reporte ejecutivo:</w:t>
      </w:r>
      <w:r>
        <w:t xml:space="preserve"> </w:t>
      </w:r>
    </w:p>
    <w:p>
      <w:pPr>
        <w:pStyle w:val="Heading2"/>
        <w:keepNext/>
        <w:keepLines/>
      </w:pPr>
      <w:r>
        <w:rPr>
          <w:color w:val="0066CC"/>
        </w:rPr>
        <w:t>4. Integración con marcos y normas</w:t>
      </w:r>
    </w:p>
    <w:p>
      <w:r>
        <w:t>El kit está pensado para convivir con:</w:t>
      </w:r>
    </w:p>
    <w:p>
      <w:pPr>
        <w:pStyle w:val="ListBullet"/>
        <w:keepLines w:val="1"/>
        <w:keepNext w:val="1"/>
        <w:widowControl w:val="1"/>
      </w:pPr>
      <w:r>
        <w:t xml:space="preserve">ENISA Threat Landscape 2025, como referencia del panorama de amenazas europeo.[web:66][web:43]  </w:t>
      </w:r>
    </w:p>
    <w:p>
      <w:pPr>
        <w:pStyle w:val="ListBullet"/>
        <w:keepLines w:val="1"/>
        <w:keepNext w:val="1"/>
        <w:widowControl w:val="1"/>
      </w:pPr>
      <w:r>
        <w:t xml:space="preserve">NIS2 y marcos nacionales de transposición, como definidores de capacidades mínimas.  </w:t>
      </w:r>
    </w:p>
    <w:p>
      <w:pPr>
        <w:pStyle w:val="ListBullet"/>
        <w:keepLines w:val="1"/>
        <w:keepNext w:val="1"/>
        <w:widowControl w:val="1"/>
      </w:pPr>
      <w:r>
        <w:t xml:space="preserve">DORA, para sectores financieros y dependencias de TI.  </w:t>
      </w:r>
    </w:p>
    <w:p>
      <w:pPr>
        <w:pStyle w:val="ListBullet"/>
        <w:keepLines w:val="1"/>
        <w:widowControl w:val="1"/>
      </w:pPr>
      <w:r>
        <w:t>NIST CSF / ISO 27001 / ENS, como marcos de gestión del riesgo y control.</w:t>
      </w:r>
    </w:p>
    <w:p>
      <w:r>
        <w:t>MITRE ATT&amp;CK actúa como capa de inteligencia técnica; GQM y PRAGMATIC como mecanismo de gobernanza métrica.</w:t>
      </w:r>
    </w:p>
    <w:p>
      <w:pPr>
        <w:pStyle w:val="Heading2"/>
        <w:keepNext/>
        <w:keepLines/>
      </w:pPr>
      <w:r>
        <w:rPr>
          <w:color w:val="0066CC"/>
        </w:rPr>
        <w:t>5. Personalización y ampliación</w:t>
      </w:r>
    </w:p>
    <w:p>
      <w:r>
        <w:t>Sugerencias:</w:t>
      </w:r>
    </w:p>
    <w:p>
      <w:pPr>
        <w:pStyle w:val="ListBullet"/>
        <w:keepLines w:val="1"/>
        <w:keepNext w:val="1"/>
        <w:widowControl w:val="1"/>
      </w:pPr>
      <w:r>
        <w:t xml:space="preserve">Extender la lista de indicadores para sectores específicos (OT, salud, administración, etc.), aprovechando las TTP sectoriales documentadas por ENISA.[web:66][web:61]  </w:t>
      </w:r>
    </w:p>
    <w:p>
      <w:pPr>
        <w:pStyle w:val="ListBullet"/>
        <w:keepLines w:val="1"/>
        <w:keepNext w:val="1"/>
        <w:widowControl w:val="1"/>
      </w:pPr>
      <w:r>
        <w:t xml:space="preserve">Afinar los pesos PRAGMATIC en función de la cultura organizativa (por ejemplo, si el coste de medición es especialmente sensible).  </w:t>
      </w:r>
    </w:p>
    <w:p>
      <w:pPr>
        <w:pStyle w:val="ListBullet"/>
        <w:keepLines w:val="1"/>
        <w:widowControl w:val="1"/>
      </w:pPr>
      <w:r>
        <w:t>Añadir capas visuales adicionales (dashboards Power BI, heatmaps ATT&amp;CK) que consuman las mismas métricas.</w:t>
      </w:r>
    </w:p>
    <w:p>
      <w:pPr>
        <w:pStyle w:val="Heading2"/>
        <w:keepNext/>
        <w:keepLines/>
      </w:pPr>
      <w:r>
        <w:rPr>
          <w:color w:val="0066CC"/>
        </w:rPr>
        <w:t>6. Límites y advertencias</w:t>
      </w:r>
    </w:p>
    <w:p>
      <w:pPr>
        <w:pStyle w:val="ListBullet"/>
        <w:keepLines w:val="1"/>
        <w:keepNext w:val="1"/>
        <w:widowControl w:val="1"/>
      </w:pPr>
      <w:r>
        <w:t xml:space="preserve">Ningún indicador, por brillante que parezca, sustituye a un buen análisis de incidentes y ejercicios reales.  </w:t>
      </w:r>
    </w:p>
    <w:p>
      <w:pPr>
        <w:pStyle w:val="ListBullet"/>
        <w:keepLines w:val="1"/>
        <w:keepNext w:val="1"/>
        <w:widowControl w:val="1"/>
      </w:pPr>
      <w:r>
        <w:t xml:space="preserve">Las métricas económicas (ROI) dependen fuertemente de los supuestos sobre reducción de riesgo; deben tratarse como aproximaciones conscientes, no como verdades reveladas.[web:50][web:53]  </w:t>
      </w:r>
    </w:p>
    <w:p>
      <w:pPr>
        <w:pStyle w:val="ListBullet"/>
        <w:keepLines w:val="1"/>
        <w:widowControl w:val="1"/>
      </w:pPr>
      <w:r>
        <w:t>La tentación de “jugar” con las métricas para mejorar la foto es el enemigo natural del criterio G (Genuino) de PRAGMATIC; conviene vigilarlo.</w:t>
      </w:r>
    </w:p>
    <w:p>
      <w:pPr>
        <w:pStyle w:val="Heading2"/>
        <w:keepNext/>
        <w:keepLines/>
      </w:pPr>
      <w:r>
        <w:rPr>
          <w:color w:val="0066CC"/>
        </w:rPr>
        <w:t>7. Próximos pasos posibles</w:t>
      </w:r>
    </w:p>
    <w:p>
      <w:pPr>
        <w:pStyle w:val="ListBullet"/>
        <w:keepLines w:val="1"/>
        <w:keepNext w:val="1"/>
        <w:widowControl w:val="1"/>
      </w:pPr>
      <w:r>
        <w:t xml:space="preserve">Pilotar el kit en un sector crítico (por ejemplo, salud o energía), recogiendo lecciones para ampliación nacional.  </w:t>
      </w:r>
    </w:p>
    <w:p>
      <w:pPr>
        <w:pStyle w:val="ListBullet"/>
        <w:keepLines w:val="1"/>
        <w:keepNext w:val="1"/>
        <w:widowControl w:val="1"/>
      </w:pPr>
      <w:r>
        <w:t xml:space="preserve">Integrar los indicadores seleccionados en hojas de ruta plurianuales de resiliencia digital.  </w:t>
      </w:r>
    </w:p>
    <w:p>
      <w:pPr>
        <w:pStyle w:val="ListBullet"/>
        <w:keepLines w:val="1"/>
        <w:widowControl w:val="1"/>
      </w:pPr>
      <w:r>
        <w:t>Publicar, cuando sea posible, versiones agregadas y anonimizadas de los resultados para fomentar transparencia y aprendizaje mutuo.</w:t>
      </w:r>
    </w:p>
    <w:p>
      <w:r>
        <w:t>En resumen: este kit no pretende ofrecer respuestas mágicas, sino buenas preguntas y métricas razonables para sostenerlas en la mesa de decisión.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