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MITRE ATT\&amp;CK.</w:t>
      </w:r>
    </w:p>
    <w:p>
      <w:r>
        <w:t>MITRE ATT\&amp;CK, desde 2025, se ha consolidado como el “idioma” operativo para medir la capacidad de detección y respuesta, y está empezando a utilizarse como base de indicadores a escala país en la UE, incluida España, aunque todavía de forma desigual y, en ocasiones, más aspiracional que real.</w:t>
      </w:r>
      <w:r/>
      <w:r>
        <w:rPr/>
        <w:footnoteReference w:id="1"/>
      </w:r>
      <w:r/>
      <w:r>
        <w:rPr/>
        <w:footnoteReference w:id="2"/>
      </w:r>
      <w:r/>
      <w:r>
        <w:rPr/>
        <w:footnoteReference w:id="3"/>
      </w:r>
      <w:r/>
      <w:r>
        <w:rPr/>
        <w:footnoteReference w:id="4"/>
      </w:r>
    </w:p>
    <w:p>
      <w:pPr>
        <w:pStyle w:val="Heading2"/>
        <w:keepNext/>
        <w:keepLines/>
      </w:pPr>
      <w:r>
        <w:rPr>
          <w:color w:val="0066CC"/>
        </w:rPr>
        <w:t>1. MITRE ATT\&amp;CK como base de indicadores</w:t>
      </w:r>
    </w:p>
    <w:p>
      <w:pPr>
        <w:pStyle w:val="ListBullet"/>
        <w:keepLines w:val="1"/>
        <w:keepNext w:val="1"/>
        <w:widowControl w:val="1"/>
      </w:pPr>
      <w:r>
        <w:t>MITRE ATT\&amp;CK es una base de conocimiento global de tácticas, técnicas y subtécnicas adversarias, construida a partir de observaciones de ataques reales, que hoy supera centenares de TTP y se actualiza de forma continua.561</w:t>
      </w:r>
    </w:p>
    <w:p>
      <w:pPr>
        <w:pStyle w:val="ListBullet"/>
        <w:keepLines w:val="1"/>
        <w:keepNext w:val="1"/>
        <w:widowControl w:val="1"/>
      </w:pPr>
      <w:r>
        <w:t>La matriz Enterprise (v13) organiza 14 tácticas y cerca de 200 técnicas con más de 400 subtécnicas, cubriendo entornos on‑prem, nube, contenedores e identidades.61</w:t>
      </w:r>
    </w:p>
    <w:p>
      <w:pPr>
        <w:pStyle w:val="ListBullet"/>
        <w:keepLines w:val="1"/>
        <w:keepNext w:val="1"/>
        <w:widowControl w:val="1"/>
      </w:pPr>
      <w:r>
        <w:t>ENISA adopta MITRE ATT\&amp;CK como “grid” de referencia para mapear comportamientos de amenaza en sus Threat Landscapes, que sirven como brújula estratégica para los Estados miembros.23</w:t>
      </w:r>
    </w:p>
    <w:p>
      <w:pPr>
        <w:pStyle w:val="ListBullet"/>
        <w:keepLines w:val="1"/>
        <w:widowControl w:val="1"/>
      </w:pPr>
      <w:r>
        <w:t>A nivel de producto, las Evaluaciones MITRE ATT\&amp;CK Enterprise se han convertido en un benchmark de facto, centrado en métricas de cobertura de detección, calidad de alertas y protección preventiva.789</w:t>
      </w:r>
    </w:p>
    <w:p>
      <w:r>
        <w:t>Ejemplo ilustrativo: en la evaluación Enterprise 2025 algunos proveedores logran 100% de cobertura de técnicas y protección, con cero falsos positivos en los escenarios probados, lo que marca el listón de lo que se exige a un SOC “serio” en 2026.</w:t>
      </w:r>
      <w:r/>
      <w:r>
        <w:rPr/>
        <w:footnoteReference w:id="8"/>
      </w:r>
      <w:r/>
      <w:r>
        <w:rPr/>
        <w:footnoteReference w:id="10"/>
      </w:r>
      <w:r/>
      <w:r>
        <w:rPr/>
        <w:footnoteReference w:id="7"/>
      </w:r>
    </w:p>
    <w:p>
      <w:pPr>
        <w:pStyle w:val="Heading3"/>
        <w:keepNext/>
        <w:keepLines/>
      </w:pPr>
      <w:r>
        <w:t>Tabla: niveles donde se usa ATT\&amp;CK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principal ATT\&amp;CK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Producto / SOC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Medir cobertura de detección, calidad de alertas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Organización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Roadmap de detección, priorización de casos de uso SIEM/SOAR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Sector / UE (ENISA)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Tipificación de TTP, análisis de tendencias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País (España y UE)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Alineación con planes nacionales, evaluación de capacidades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Métricas “clásicas” apoyadas en MITRE ATT\&amp;CK</w:t>
      </w:r>
    </w:p>
    <w:p>
      <w:r>
        <w:t xml:space="preserve">Desde 2025 se está convergiendo hacia un pequeño canon de métricas operativas donde ATT\&amp;CK no aparece sólo como taxonomía bonita, sino como </w:t>
      </w:r>
      <w:r>
        <w:rPr>
          <w:b/>
        </w:rPr>
        <w:t>eje de medición</w:t>
      </w:r>
      <w:r>
        <w:t>.</w:t>
      </w:r>
      <w:r/>
      <w:r>
        <w:rPr/>
        <w:footnoteReference w:id="9"/>
      </w:r>
      <w:r/>
      <w:r>
        <w:rPr/>
        <w:footnoteReference w:id="11"/>
      </w:r>
      <w:r/>
      <w:r>
        <w:rPr/>
        <w:footnoteReference w:id="12"/>
      </w:r>
    </w:p>
    <w:p>
      <w:pPr>
        <w:pStyle w:val="Heading3"/>
        <w:keepNext/>
        <w:keepLines/>
      </w:pPr>
      <w:r>
        <w:t>2.1 Cobertura de detección ATT\&amp;CK</w:t>
      </w:r>
    </w:p>
    <w:p>
      <w:pPr>
        <w:pStyle w:val="ListBullet"/>
        <w:keepLines w:val="1"/>
        <w:keepNext w:val="1"/>
        <w:widowControl w:val="1"/>
      </w:pPr>
      <w:r>
        <w:t>Porcentaje de técnicas/subtécnicas relevantes para el entorno que generan, al menos, un evento observable y una lógica de detección asociada.119</w:t>
      </w:r>
    </w:p>
    <w:p>
      <w:pPr>
        <w:pStyle w:val="ListBullet"/>
        <w:keepLines w:val="1"/>
        <w:keepNext w:val="1"/>
        <w:widowControl w:val="1"/>
      </w:pPr>
      <w:r>
        <w:t>En las Evaluaciones Enterprise 2025 se reporta cobertura de técnicas a nivel granular: 90/90 técnicas detectadas, 100% de técnica‑coverage, etc., y esto ha contaminado positivamente el lenguaje de los CISOs.1078</w:t>
      </w:r>
    </w:p>
    <w:p>
      <w:pPr>
        <w:pStyle w:val="ListBullet"/>
        <w:keepLines w:val="1"/>
        <w:widowControl w:val="1"/>
      </w:pPr>
      <w:r>
        <w:t>En España, soluciones gestionadas tipo xMDR ya anuncian porcentajes explícitos de cobertura de tácticas (≈93%) y de técnicas (≈66%), lo que muestra una adopción explícita del marco como métrica comercial y técnica.13</w:t>
      </w:r>
    </w:p>
    <w:p>
      <w:pPr>
        <w:pStyle w:val="Heading3"/>
        <w:keepNext/>
        <w:keepLines/>
      </w:pPr>
      <w:r>
        <w:t>2.2 Calidad de detección y señal‑ruido</w:t>
      </w:r>
    </w:p>
    <w:p>
      <w:pPr>
        <w:pStyle w:val="ListBullet"/>
        <w:keepLines w:val="1"/>
        <w:keepNext w:val="1"/>
        <w:widowControl w:val="1"/>
      </w:pPr>
      <w:r>
        <w:t>MITRE ha enfatizado desde 2025 métricas sobre calidad de detección (precisión, nivel de detalle en la técnica/subtécnica) y volumen de alertas, en lugar de “más es mejor”.9</w:t>
      </w:r>
    </w:p>
    <w:p>
      <w:pPr>
        <w:pStyle w:val="ListBullet"/>
        <w:keepLines w:val="1"/>
        <w:keepNext w:val="1"/>
        <w:widowControl w:val="1"/>
      </w:pPr>
      <w:r>
        <w:t>ENISA, al mapear incidentes a TTP ATT\&amp;CK, impulsa a medir qué técnicas se detectan de forma temprana y cuáles sólo se descubren a posteriori, tras exfiltración o impacto.32</w:t>
      </w:r>
    </w:p>
    <w:p>
      <w:pPr>
        <w:pStyle w:val="ListBullet"/>
        <w:keepLines w:val="1"/>
        <w:widowControl w:val="1"/>
      </w:pPr>
      <w:r>
        <w:t>Fabricantes punteros presumen de detección con 100% de técnicas, 0 falsos positivos y detección a nivel de técnica/subtécnica, reforzando la idea de que la métrica ya no es sólo “ver algo”, sino “ver lo que importa, a la resolución correcta”.78</w:t>
      </w:r>
    </w:p>
    <w:p>
      <w:pPr>
        <w:pStyle w:val="Heading3"/>
        <w:keepNext/>
        <w:keepLines/>
      </w:pPr>
      <w:r>
        <w:t>2.3 Métricas de tiempo (MTTD, MTTC, MTTR)</w:t>
      </w:r>
    </w:p>
    <w:p>
      <w:pPr>
        <w:pStyle w:val="ListBullet"/>
        <w:keepLines w:val="1"/>
        <w:keepNext w:val="1"/>
        <w:widowControl w:val="1"/>
      </w:pPr>
      <w:r>
        <w:t>Prácticamente todos los marcos de métricas de 2025–2026 incorporan Mean Time to Detect (MTTD), Mean Time to Contain (MTTC) y Mean Time to Recover (MTTR); la aportación de ATT\&amp;CK es permitir desglosar estos tiempos por táctica/técnica.1411</w:t>
      </w:r>
    </w:p>
    <w:p>
      <w:pPr>
        <w:pStyle w:val="ListBullet"/>
        <w:keepLines w:val="1"/>
        <w:widowControl w:val="1"/>
      </w:pPr>
      <w:r>
        <w:t>El análisis reciente de cobertura destaca que, ante el auge de intrusiones “malware‑free” (≈81% en 2024–2025), es crítico reducir MTTD en técnicas de credenciales, movimiento lateral y “living‑off‑the‑land”, más que en firmas de malware clásico.12</w:t>
      </w:r>
    </w:p>
    <w:p>
      <w:pPr>
        <w:pStyle w:val="Heading2"/>
        <w:keepNext/>
        <w:keepLines/>
      </w:pPr>
      <w:r>
        <w:rPr>
          <w:color w:val="0066CC"/>
        </w:rPr>
        <w:t>3. Indicadores avanzados basados en ATT\&amp;CK</w:t>
      </w:r>
    </w:p>
    <w:p>
      <w:r>
        <w:t>Desde 2025 la comunidad académica e industrial ha pasado de “dibujar matrices” a usar ATT\&amp;CK como base para indicadores compuestos y modelos de decisión.</w:t>
      </w:r>
      <w:r/>
      <w:r>
        <w:rPr/>
        <w:footnoteReference w:id="15"/>
      </w:r>
      <w:r/>
      <w:r>
        <w:rPr/>
        <w:footnoteReference w:id="2"/>
      </w:r>
      <w:r/>
      <w:r>
        <w:rPr/>
        <w:footnoteReference w:id="3"/>
      </w:r>
    </w:p>
    <w:p>
      <w:pPr>
        <w:pStyle w:val="Heading3"/>
        <w:keepNext/>
        <w:keepLines/>
      </w:pPr>
      <w:r>
        <w:t>3.1 Índices de riesgo técnico por táctica</w:t>
      </w:r>
    </w:p>
    <w:p>
      <w:pPr>
        <w:pStyle w:val="ListBullet"/>
        <w:keepLines w:val="1"/>
        <w:keepNext w:val="1"/>
        <w:widowControl w:val="1"/>
      </w:pPr>
      <w:r>
        <w:t>Trabajos recientes proponen caracterizar dinámicamente ataques según secuencias de técnicas ATT\&amp;CK, optimizando la selección de mitigaciones según la ruta probable del adversario.15</w:t>
      </w:r>
    </w:p>
    <w:p>
      <w:pPr>
        <w:pStyle w:val="ListBullet"/>
        <w:keepLines w:val="1"/>
        <w:keepNext w:val="1"/>
        <w:widowControl w:val="1"/>
      </w:pPr>
      <w:r>
        <w:t>ENISA usa el mapeo ATT\&amp;CK para identificar qué tácticas concentran más actividad (p. ej., exfiltración y credenciales suman alrededor de un tercio de los casos analizados en su ETL 2025), señalando dónde deben concentrarse capacidades y métricas.2</w:t>
      </w:r>
    </w:p>
    <w:p>
      <w:pPr>
        <w:pStyle w:val="ListBullet"/>
        <w:keepLines w:val="1"/>
        <w:widowControl w:val="1"/>
      </w:pPr>
      <w:r>
        <w:t>Esto permite definir indicadores como “riesgo residual por táctica”: combinación de frecuencia observada en el ecosistema europeo y brecha de cobertura de detección/prevención en la infraestructura nacional.32</w:t>
      </w:r>
    </w:p>
    <w:p>
      <w:pPr>
        <w:pStyle w:val="Heading3"/>
        <w:keepNext/>
        <w:keepLines/>
      </w:pPr>
      <w:r>
        <w:t>3.2 Cobertura nacional y sectorial ATT\&amp;CK</w:t>
      </w:r>
    </w:p>
    <w:p>
      <w:pPr>
        <w:pStyle w:val="ListBullet"/>
        <w:keepLines w:val="1"/>
        <w:keepNext w:val="1"/>
        <w:widowControl w:val="1"/>
      </w:pPr>
      <w:r>
        <w:t>ENISA ha refinado su metodología para procesar conjuntos de datos de TTP según ATT\&amp;CK, integrando CTI de proveedores, CERT nacionales y fuentes OSINT, con vistas a vistas sectoriales y, potencialmente, por Estado miembro.23</w:t>
      </w:r>
    </w:p>
    <w:p>
      <w:pPr>
        <w:pStyle w:val="ListBullet"/>
        <w:keepLines w:val="1"/>
        <w:keepNext w:val="1"/>
        <w:widowControl w:val="1"/>
      </w:pPr>
      <w:r>
        <w:t>Para España, los informes de ciberamenazas de la UE destacan que la administración pública es uno de los sectores más atacados, con especial protagonismo de ransomware, exfiltración y operaciones de espionaje; mapeado a ATT\&amp;CK, esto se traduce en concentración en tácticas de impacto, exfiltración y acceso a credenciales.42</w:t>
      </w:r>
    </w:p>
    <w:p>
      <w:pPr>
        <w:pStyle w:val="ListBullet"/>
        <w:keepLines w:val="1"/>
        <w:widowControl w:val="1"/>
      </w:pPr>
      <w:r>
        <w:t>La progresiva adopción de herramientas de análisis de cobertura alineadas con ATT\&amp;CK facilita generar “mapas de calor” por país o sector, identificando las técnicas donde la detección es sistemáticamente pobre.113</w:t>
      </w:r>
    </w:p>
    <w:p>
      <w:pPr>
        <w:pStyle w:val="Heading3"/>
        <w:keepNext/>
        <w:keepLines/>
      </w:pPr>
      <w:r>
        <w:t>3.3 Métricas de madurez: ATT\&amp;CK + Zero Trust</w:t>
      </w:r>
    </w:p>
    <w:p>
      <w:pPr>
        <w:pStyle w:val="ListBullet"/>
        <w:keepLines w:val="1"/>
        <w:keepNext w:val="1"/>
        <w:widowControl w:val="1"/>
      </w:pPr>
      <w:r>
        <w:t>Algunos white papers orientados a seguridad nacional combinan ATT\&amp;CK con marcos de inteligencia de amenazas para definir indicadores de madurez: porcentaje de flujos críticos cubiertos, capacidad de microsegmentación efectiva frente a tácticas de movimiento lateral, etc.162</w:t>
      </w:r>
    </w:p>
    <w:p>
      <w:pPr>
        <w:pStyle w:val="ListBullet"/>
        <w:keepLines w:val="1"/>
        <w:widowControl w:val="1"/>
      </w:pPr>
      <w:r>
        <w:t>El enlace con Zero Trust es directo: medir cuántas de las técnicas de acceso inicial, credenciales y movimiento lateral pueden completar su “coreografía” antes de que los controles de identidad, red y endpoint activen una respuesta.169</w:t>
      </w:r>
    </w:p>
    <w:p>
      <w:pPr>
        <w:pStyle w:val="Heading2"/>
        <w:keepNext/>
        <w:keepLines/>
      </w:pPr>
      <w:r>
        <w:rPr>
          <w:color w:val="0066CC"/>
        </w:rPr>
        <w:t>4. España en el tablero ATT\&amp;CK</w:t>
      </w:r>
    </w:p>
    <w:p>
      <w:pPr>
        <w:pStyle w:val="Heading3"/>
        <w:keepNext/>
        <w:keepLines/>
      </w:pPr>
      <w:r>
        <w:t>4.1 Marco institucional</w:t>
      </w:r>
    </w:p>
    <w:p>
      <w:pPr>
        <w:pStyle w:val="ListBullet"/>
        <w:keepLines w:val="1"/>
        <w:keepNext w:val="1"/>
        <w:widowControl w:val="1"/>
      </w:pPr>
      <w:r>
        <w:t>España se posiciona como país con fuerte compromiso en ciberseguridad según informes internacionales, apoyado por un Plan Nacional de Ciberseguridad y nuevas inversiones superiores a 1 100 millones de euros para fortalecer capacidades de prevención, detección y respuesta.4</w:t>
      </w:r>
    </w:p>
    <w:p>
      <w:pPr>
        <w:pStyle w:val="ListBullet"/>
        <w:keepLines w:val="1"/>
        <w:keepNext w:val="1"/>
        <w:widowControl w:val="1"/>
      </w:pPr>
      <w:r>
        <w:t>El ecosistema nacional articula varios centros clave: INCIBE, CCN‑CERT y el Mando Conjunto del Ciberespacio, que cooperan con la UE y ENISA en el intercambio de CTI y en la alineación con metodologías basadas en ATT\&amp;CK.1734</w:t>
      </w:r>
    </w:p>
    <w:p>
      <w:pPr>
        <w:pStyle w:val="ListBullet"/>
        <w:keepLines w:val="1"/>
        <w:widowControl w:val="1"/>
      </w:pPr>
      <w:r>
        <w:t>INCIBE aparece citado como actor nacional asociado al uso de ATT\&amp;CK en iniciativas internacionales, lo que apunta a su utilización al menos como marco de referencia en programas de capacitación y servicios a empresas.17</w:t>
      </w:r>
    </w:p>
    <w:p>
      <w:pPr>
        <w:pStyle w:val="Heading3"/>
        <w:keepNext/>
        <w:keepLines/>
      </w:pPr>
      <w:r>
        <w:t>4.2 Uso de ATT\&amp;CK en España (indicios)</w:t>
      </w:r>
    </w:p>
    <w:p>
      <w:pPr>
        <w:pStyle w:val="ListBullet"/>
        <w:keepLines w:val="1"/>
        <w:keepNext w:val="1"/>
        <w:widowControl w:val="1"/>
      </w:pPr>
      <w:r>
        <w:t>Casos recientes de ataques a infraestructuras españolas (p. ej., incidentes de ransomware o brechas en ministerios y puertos) se analizan y comunican con referencias explícitas a técnicas ATT\&amp;CK, incluyendo phishing, ejecución de scripts y persistencia en sistemas críticos.1819</w:t>
      </w:r>
    </w:p>
    <w:p>
      <w:pPr>
        <w:pStyle w:val="ListBullet"/>
        <w:keepLines w:val="1"/>
        <w:keepNext w:val="1"/>
        <w:widowControl w:val="1"/>
      </w:pPr>
      <w:r>
        <w:t>El sector privado español incorpora métricas basadas en ATT\&amp;CK en servicios gestionados avanzados, declarando cobertura explícita en tácticas y técnicas como argumento de calidad y madurez.13</w:t>
      </w:r>
    </w:p>
    <w:p>
      <w:pPr>
        <w:pStyle w:val="ListBullet"/>
        <w:keepLines w:val="1"/>
        <w:widowControl w:val="1"/>
      </w:pPr>
      <w:r>
        <w:t>Empresas y alianzas GRC‑ciber en España alinean sus servicios con el Esquema Nacional de Seguridad, el GDPR y marcos como ATT\&amp;CK para integrar cumplimiento, amenazas y capacidades técnicas en un mismo cuadro de mando.134</w:t>
      </w:r>
    </w:p>
    <w:p>
      <w:pPr>
        <w:pStyle w:val="Heading3"/>
        <w:keepNext/>
        <w:keepLines/>
      </w:pPr>
      <w:r>
        <w:t>4.3 Oportunidad: indicadores “nacionales ATT\&amp;CK”</w:t>
      </w:r>
    </w:p>
    <w:p>
      <w:r>
        <w:t>Partiendo de las tendencias europeas y el tejido español, un conjunto razonable de indicadores a nivel país podría incluir:</w:t>
      </w:r>
    </w:p>
    <w:p>
      <w:pPr>
        <w:pStyle w:val="ListBullet"/>
        <w:keepLines w:val="1"/>
        <w:keepNext w:val="1"/>
        <w:widowControl w:val="1"/>
      </w:pPr>
      <w:r>
        <w:t>Porcentaje de técnicas ATT\&amp;CK prioritarias (top N por frecuencia en la UE) con detección sistemática en infraestructuras críticas nacionales.</w:t>
      </w:r>
    </w:p>
    <w:p>
      <w:pPr>
        <w:pStyle w:val="ListBullet"/>
        <w:keepLines w:val="1"/>
        <w:keepNext w:val="1"/>
        <w:widowControl w:val="1"/>
      </w:pPr>
      <w:r>
        <w:t>Tiempo medio de detección de cadenas de ataque que involucren credenciales y movimiento lateral, en comparación con la media de la UE.122</w:t>
      </w:r>
    </w:p>
    <w:p>
      <w:pPr>
        <w:pStyle w:val="ListBullet"/>
        <w:keepLines w:val="1"/>
        <w:keepNext w:val="1"/>
        <w:widowControl w:val="1"/>
      </w:pPr>
      <w:r>
        <w:t>Cobertura ATT\&amp;CK del ecosistema de servicios gestionados que dan soporte a pymes y administraciones locales (en porcentaje de tácticas técnicas relevantes).1113</w:t>
      </w:r>
    </w:p>
    <w:p>
      <w:pPr>
        <w:pStyle w:val="ListBullet"/>
        <w:keepLines w:val="1"/>
        <w:widowControl w:val="1"/>
      </w:pPr>
      <w:r>
        <w:t>Índice de alineación entre incidentes reportados a CERT nacionales y su mapeo ATT\&amp;CK frente al panorama europeo (¿detectamos lo mismo, más tarde, antes?).342</w:t>
      </w:r>
    </w:p>
    <w:p>
      <w:pPr>
        <w:pStyle w:val="Heading2"/>
        <w:keepNext/>
        <w:keepLines/>
      </w:pPr>
      <w:r>
        <w:rPr>
          <w:color w:val="0066CC"/>
        </w:rPr>
        <w:t>5. Tendencias globales desde 2025</w:t>
      </w:r>
    </w:p>
    <w:p>
      <w:pPr>
        <w:pStyle w:val="Heading3"/>
        <w:keepNext/>
        <w:keepLines/>
      </w:pPr>
      <w:r>
        <w:t>5.1 Evaluaciones ATT\&amp;CK como presión selectiva</w:t>
      </w:r>
    </w:p>
    <w:p>
      <w:pPr>
        <w:pStyle w:val="ListBullet"/>
        <w:keepLines w:val="1"/>
        <w:keepNext w:val="1"/>
        <w:widowControl w:val="1"/>
      </w:pPr>
      <w:r>
        <w:t>Las Evaluaciones Enterprise 2025 amplían el foco a dominios híbridos (endpoint, identidad, nube) e incorporan táctica de Reconocimiento, presionando para medir detección desde las fases más tempranas del ciclo de ataque.2079</w:t>
      </w:r>
    </w:p>
    <w:p>
      <w:pPr>
        <w:pStyle w:val="ListBullet"/>
        <w:keepLines w:val="1"/>
        <w:keepNext w:val="1"/>
        <w:widowControl w:val="1"/>
      </w:pPr>
      <w:r>
        <w:t>Varios fabricantes alcanzan 100% de detección y protección en los escenarios testados, lo que eleva la expectativa mínima y convierte cualquier cosa por debajo de cierto umbral de cobertura en una confesión de culpa.8107</w:t>
      </w:r>
    </w:p>
    <w:p>
      <w:pPr>
        <w:pStyle w:val="ListBullet"/>
        <w:keepLines w:val="1"/>
        <w:widowControl w:val="1"/>
      </w:pPr>
      <w:r>
        <w:t>Aunque las evaluaciones no nombran “ganadores”, la transparencia de los datos por técnica permite a gobiernos y grandes organizaciones seleccionar tecnologías según su propio modelo de amenaza.89</w:t>
      </w:r>
    </w:p>
    <w:p>
      <w:pPr>
        <w:pStyle w:val="Heading3"/>
        <w:keepNext/>
        <w:keepLines/>
      </w:pPr>
      <w:r>
        <w:t>5.2 Europa y ENISA: ATT\&amp;CK como lingua franca</w:t>
      </w:r>
    </w:p>
    <w:p>
      <w:pPr>
        <w:pStyle w:val="ListBullet"/>
        <w:keepLines w:val="1"/>
        <w:keepNext w:val="1"/>
        <w:widowControl w:val="1"/>
      </w:pPr>
      <w:r>
        <w:t>ENISA sitúa ATT\&amp;CK en el centro de su metodología de Threat Landscape, normalizando los TTP reportados por Estados miembros, proveedores y OSINT.23</w:t>
      </w:r>
    </w:p>
    <w:p>
      <w:pPr>
        <w:pStyle w:val="ListBullet"/>
        <w:keepLines w:val="1"/>
        <w:keepNext w:val="1"/>
        <w:widowControl w:val="1"/>
      </w:pPr>
      <w:r>
        <w:t>La sectorialización (p. ej., administración pública) permite extraer patrones de TTP que, traducidos a ATT\&amp;CK, pueden convertirse en listas de “técnicas mínimas” que deberían estar cubiertas en cualquier SOC gubernamental europeo.212</w:t>
      </w:r>
    </w:p>
    <w:p>
      <w:pPr>
        <w:pStyle w:val="ListBullet"/>
        <w:keepLines w:val="1"/>
        <w:widowControl w:val="1"/>
      </w:pPr>
      <w:r>
        <w:t>Esta convergencia prepara el terreno para métricas comparativas entre países, aunque todavía no se ha publicado un ranking explícito por cobertura ATT\&amp;CK.222</w:t>
      </w:r>
    </w:p>
    <w:p>
      <w:pPr>
        <w:pStyle w:val="Heading3"/>
        <w:keepNext/>
        <w:keepLines/>
      </w:pPr>
      <w:r>
        <w:t>5.3 Academia e industria: operacionalizar ATT\&amp;CK</w:t>
      </w:r>
    </w:p>
    <w:p>
      <w:pPr>
        <w:pStyle w:val="ListBullet"/>
        <w:keepLines w:val="1"/>
        <w:keepNext w:val="1"/>
        <w:widowControl w:val="1"/>
      </w:pPr>
      <w:r>
        <w:t>Estudios recientes muestran que ATT\&amp;CK es uno de los marcos más adecuados para procesar datos de amenazas a gran escala, especialmente aprovechando técnicas de IA para clasificar y correlacionar TTP.2315</w:t>
      </w:r>
    </w:p>
    <w:p>
      <w:pPr>
        <w:pStyle w:val="ListBullet"/>
        <w:keepLines w:val="1"/>
        <w:keepNext w:val="1"/>
        <w:widowControl w:val="1"/>
      </w:pPr>
      <w:r>
        <w:t>La caracterización dinámica de ataques basada en ATT\&amp;CK permite optimizar la selección de mitigaciones y priorizar inversiones en funciones de seguridad con mayor impacto marginal.1215</w:t>
      </w:r>
    </w:p>
    <w:p>
      <w:pPr>
        <w:pStyle w:val="ListBullet"/>
        <w:keepLines w:val="1"/>
        <w:widowControl w:val="1"/>
      </w:pPr>
      <w:r>
        <w:t>Herramientas industriales han aparecido específicamente para mapear, medir y reportar cobertura ATT\&amp;CK, proporcionando reporting exportable para auditorías y decisiones de inversión.11</w:t>
      </w:r>
    </w:p>
    <w:p>
      <w:r>
        <w:t>2425262728293031323334353637383940414243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https://attack.mitre.org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https://www.enisa.europa.eu/sites/default/files/2026-01/ENISA Threat Landscape 2025_v1.2.pdf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https://www.enisa.europa.eu/sites/default/files/publications/ENISA CTL Methodology RECAST.pdf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https://www.cynet.com/mitre-attck-results/</w:t>
      </w:r>
    </w:p>
  </w:footnote>
  <w:footnote w:id="1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https://radar.offseq.com/threat/mitre-posts-results-of-2025-attck-enterprise-evalu-0eb3a600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https://www.crowdstrike.com/en-us/blog/crowdstrike-achieves-100-percent-2025-mitre-attack-enterprise-evaluation/</w:t>
      </w:r>
    </w:p>
  </w:footnote>
  <w:footnote w:id="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https://evals.mitre.org/enterprise/er7</w:t>
      </w:r>
    </w:p>
  </w:footnote>
  <w:footnote w:id="1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https://stellarcyber.ai/mitre-attck-coverage-analyzer/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https://kcyerrid.com/2026/03/22/detection-coverage-measuring-what-you-can-actually-see/</w:t>
      </w:r>
    </w:p>
  </w:footnote>
  <w:footnote w:id="1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https://www.sciencedirect.com/science/article/pii/S0167739X25005667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https://www.enisa.europa.eu/sites/default/files/2026-01/ENISA Threat Landscape 2025_v1.2.pdf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https://www.enisa.europa.eu/sites/default/files/publications/ENISA CTL Methodology RECAST.pdf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