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AMPARO–ENS</w:t>
      </w:r>
    </w:p>
    <w:p>
      <w:pPr>
        <w:pStyle w:val="Heading2"/>
        <w:keepNext/>
        <w:keepLines/>
      </w:pPr>
      <w:r>
        <w:rPr>
          <w:color w:val="0066CC"/>
        </w:rPr>
        <w:t>Uso de Indicadores y Métricas para el Diagnóstico de Ciberseguridad</w:t>
      </w:r>
    </w:p>
    <w:p>
      <w:pPr>
        <w:pStyle w:val="Heading3"/>
        <w:keepNext/>
        <w:keepLines/>
      </w:pPr>
      <w:r>
        <w:t>1. Propósito de la encuesta</w:t>
      </w:r>
    </w:p>
    <w:p>
      <w:r>
        <w:t>La encuesta AMPARO–ENS tiene como finalidad:</w:t>
      </w:r>
    </w:p>
    <w:p>
      <w:pPr>
        <w:pStyle w:val="ListBullet"/>
        <w:keepLines w:val="1"/>
        <w:keepNext w:val="1"/>
        <w:widowControl w:val="1"/>
      </w:pPr>
      <w:r>
        <w:t xml:space="preserve">Diagnosticar el grado de adecuación al Esquema Nacional de Seguridad (ENS) en organizaciones públicas y privadas que se relacionan con el sector público.  </w:t>
      </w:r>
    </w:p>
    <w:p>
      <w:pPr>
        <w:pStyle w:val="ListBullet"/>
        <w:keepLines w:val="1"/>
        <w:keepNext w:val="1"/>
        <w:widowControl w:val="1"/>
      </w:pPr>
      <w:r>
        <w:t xml:space="preserve">Medir, de forma homogénea, indicadores clave alineados con las guías CCN‑STIC‑815 (Métricas e Indicadores) y CCN‑STIC‑824 (Informe del Estado de Seguridad). [web:32][web:33][web:35][web:38]  </w:t>
      </w:r>
    </w:p>
    <w:p>
      <w:pPr>
        <w:pStyle w:val="ListBullet"/>
        <w:keepLines w:val="1"/>
        <w:keepNext w:val="1"/>
        <w:widowControl w:val="1"/>
      </w:pPr>
      <w:r>
        <w:t xml:space="preserve">Comprender cómo se utilizan las herramientas INES y AMPARO como instrumentos de gobernanza y planificación. [web:21][web:39]  </w:t>
      </w:r>
    </w:p>
    <w:p>
      <w:pPr>
        <w:pStyle w:val="ListBullet"/>
        <w:keepLines w:val="1"/>
        <w:widowControl w:val="1"/>
      </w:pPr>
      <w:r>
        <w:t>Integrar la visión de riesgo, Zero Trust, ciberresiliencia y gestión de recursos en un cuadro coherente y explotable.</w:t>
      </w:r>
    </w:p>
    <w:p>
      <w:r>
        <w:t>Todo ello con un espíritu propositivo: no se trata de poner notas, sino de producir una radiografía útil para priorizar, persuadir y planificar.</w:t>
      </w:r>
    </w:p>
    <w:p>
      <w:pPr>
        <w:pStyle w:val="Heading3"/>
        <w:keepNext/>
        <w:keepLines/>
      </w:pPr>
      <w:r>
        <w:t>2. Población objetivo y unidades de análisis</w:t>
      </w:r>
    </w:p>
    <w:p>
      <w:pPr>
        <w:pStyle w:val="ListBullet"/>
        <w:keepLines w:val="1"/>
        <w:keepNext w:val="1"/>
        <w:widowControl w:val="1"/>
      </w:pPr>
      <w:r>
        <w:br/>
        <w:t>Población objetivo:</w:t>
        <w:br/>
        <w:t xml:space="preserve">  Entidades sujetas al ENS o que, sin estar formalmente obligadas, prestan servicios al sector público o gestionan servicios críticos. [web:21][web:30]  </w:t>
        <w:br/>
      </w:r>
    </w:p>
    <w:p>
      <w:pPr>
        <w:pStyle w:val="ListBullet"/>
        <w:keepLines w:val="1"/>
        <w:keepNext w:val="1"/>
        <w:widowControl w:val="1"/>
      </w:pPr>
      <w:r>
        <w:br/>
        <w:t>Unidad de análisis:</w:t>
        <w:br/>
        <w:t xml:space="preserve">  La organización como entidad jurídica (ministerio, consejería, ayuntamiento, empresa pública, empresa privada proveedora, etc.). En entornos muy descentralizados, se podrá replicar la encuesta por unidad organizativa relevante.</w:t>
        <w:br/>
      </w:r>
    </w:p>
    <w:p>
      <w:pPr>
        <w:pStyle w:val="ListBullet"/>
        <w:keepLines w:val="1"/>
        <w:widowControl w:val="1"/>
      </w:pPr>
      <w:r>
        <w:br/>
        <w:t>Respondentes recomendados:</w:t>
        <w:br/>
        <w:t xml:space="preserve">  CISO, CIO, responsable ENS, responsable de riesgos/seguridad, con acceso a información transversal. Se aconseja coordinación interna para evitar respuestas fragmentarias.</w:t>
        <w:br/>
      </w:r>
    </w:p>
    <w:p>
      <w:r>
        <w:rPr>
          <w:b/>
        </w:rPr>
        <w:t>Población objetivo:</w:t>
      </w:r>
      <w:r/>
      <w:r>
        <w:br/>
        <w:t xml:space="preserve">  Entidades sujetas al ENS o que, sin estar formalmente obligadas, prestan servicios al sector público o gestionan servicios críticos. [web:21][web:30]  </w:t>
      </w:r>
    </w:p>
    <w:p>
      <w:r>
        <w:rPr>
          <w:b/>
        </w:rPr>
        <w:t>Unidad de análisis:</w:t>
      </w:r>
      <w:r/>
      <w:r>
        <w:br/>
        <w:t xml:space="preserve">  La organización como entidad jurídica (ministerio, consejería, ayuntamiento, empresa pública, empresa privada proveedora, etc.). En entornos muy descentralizados, se podrá replicar la encuesta por unidad organizativa relevante.</w:t>
      </w:r>
    </w:p>
    <w:p>
      <w:r>
        <w:rPr>
          <w:b/>
        </w:rPr>
        <w:t>Respondentes recomendados:</w:t>
      </w:r>
      <w:r/>
      <w:r>
        <w:br/>
        <w:t xml:space="preserve">  CISO, CIO, responsable ENS, responsable de riesgos/seguridad, con acceso a información transversal. Se aconseja coordinación interna para evitar respuestas fragmentarias.</w:t>
      </w:r>
    </w:p>
    <w:p>
      <w:pPr>
        <w:pStyle w:val="Heading3"/>
        <w:keepNext/>
        <w:keepLines/>
      </w:pPr>
      <w:r>
        <w:t>3. Diseño del cuestionario</w:t>
      </w:r>
    </w:p>
    <w:p>
      <w:r>
        <w:t>La estructura del cuestionario se inspira en los componentes ENS y en la lógica de métricas de la guía CCN‑STIC‑815: datos → métricas → indicadores → decisiones. [web:32][web:35]</w:t>
      </w:r>
    </w:p>
    <w:p>
      <w:r>
        <w:t>Los bloques principales son:</w:t>
      </w:r>
    </w:p>
    <w:p>
      <w:pPr>
        <w:pStyle w:val="ListNumber"/>
        <w:keepLines w:val="1"/>
        <w:keepNext w:val="1"/>
        <w:widowControl w:val="1"/>
      </w:pPr>
      <w:r>
        <w:t xml:space="preserve">Información general: contexto mínimo para interpretar resultados (tipo de entidad, tamaño, sector).  </w:t>
      </w:r>
    </w:p>
    <w:p>
      <w:pPr>
        <w:pStyle w:val="ListNumber"/>
        <w:keepLines w:val="1"/>
        <w:keepNext w:val="1"/>
        <w:widowControl w:val="1"/>
      </w:pPr>
      <w:r>
        <w:t xml:space="preserve">Gobierno y cumplimiento ENS: políticas, órganos de decisión, uso de INES y AMPARO, DA, perfiles de cumplimiento. [web:21][web:33][web:39]  </w:t>
      </w:r>
    </w:p>
    <w:p>
      <w:pPr>
        <w:pStyle w:val="ListNumber"/>
        <w:keepLines w:val="1"/>
        <w:keepNext w:val="1"/>
        <w:widowControl w:val="1"/>
      </w:pPr>
      <w:r>
        <w:t xml:space="preserve">Riesgo, Zero Trust y criptografía: análisis de riesgos, MFA, segmentación, verificación continua, cifrado, preparación post‑cuántica. [web:2][web:11][web:15][web:38]  </w:t>
      </w:r>
    </w:p>
    <w:p>
      <w:pPr>
        <w:pStyle w:val="ListNumber"/>
        <w:keepLines w:val="1"/>
        <w:keepNext w:val="1"/>
        <w:widowControl w:val="1"/>
      </w:pPr>
      <w:r>
        <w:t xml:space="preserve">Operación, incidentes y ciberresiliencia: gestión de incidentes, monitorización, SOC, continuidad, simulacros. [web:25][web:6][web:33]  </w:t>
      </w:r>
    </w:p>
    <w:p>
      <w:pPr>
        <w:pStyle w:val="ListNumber"/>
        <w:keepLines w:val="1"/>
        <w:keepNext w:val="1"/>
        <w:widowControl w:val="1"/>
      </w:pPr>
      <w:r>
        <w:t xml:space="preserve">Recursos y cultura: presupuesto, personal, formación, concienciación, cultura de seguridad. [web:8][web:13][web:6]  </w:t>
      </w:r>
    </w:p>
    <w:p>
      <w:pPr>
        <w:pStyle w:val="ListNumber"/>
        <w:keepLines w:val="1"/>
        <w:keepNext w:val="1"/>
        <w:widowControl w:val="1"/>
      </w:pPr>
      <w:r>
        <w:t xml:space="preserve">Métricas y uso de la información: cuadros de mando, tipos de métricas, integración con planificación e informes ejecutivos. [web:32][web:33]  </w:t>
      </w:r>
    </w:p>
    <w:p>
      <w:pPr>
        <w:pStyle w:val="ListNumber"/>
        <w:keepLines w:val="1"/>
        <w:widowControl w:val="1"/>
      </w:pPr>
      <w:r>
        <w:t>Visión futura: prioridades y barreras, como complemento cualitativo.</w:t>
      </w:r>
    </w:p>
    <w:p>
      <w:r>
        <w:t>Dentro de cada bloque, se utilizan principalmente preguntas cerradas, con escalas categóricas y opciones diseñadas para permitir análisis comparables, evitando el síndrome de “todo está bien” propio de las autoevaluaciones complacientes.</w:t>
      </w:r>
    </w:p>
    <w:p>
      <w:pPr>
        <w:pStyle w:val="Heading3"/>
        <w:keepNext/>
        <w:keepLines/>
      </w:pPr>
      <w:r>
        <w:t>4. Escalas de medida y codificación</w:t>
      </w:r>
    </w:p>
    <w:p>
      <w:r>
        <w:t>Para facilitar el análisis:</w:t>
      </w:r>
    </w:p>
    <w:p>
      <w:pPr>
        <w:pStyle w:val="ListBullet"/>
        <w:keepLines w:val="1"/>
        <w:keepNext w:val="1"/>
        <w:widowControl w:val="1"/>
      </w:pPr>
      <w:r>
        <w:t xml:space="preserve">Las respuestas dicotómicas (sí/no) se codificarán como 1 (sí) y 0 (no).  </w:t>
      </w:r>
    </w:p>
    <w:p>
      <w:pPr>
        <w:pStyle w:val="ListBullet"/>
        <w:keepLines w:val="1"/>
        <w:keepNext w:val="1"/>
        <w:widowControl w:val="1"/>
      </w:pPr>
      <w:r>
        <w:t xml:space="preserve">Las escalas ordinales (por ejemplo, grado de implantación) se codificarán en valores crecientes (1, 2, 3, 4…) que reflejen mayor madurez o cumplimiento.  </w:t>
      </w:r>
    </w:p>
    <w:p>
      <w:pPr>
        <w:pStyle w:val="ListBullet"/>
        <w:keepLines w:val="1"/>
        <w:widowControl w:val="1"/>
      </w:pPr>
      <w:r>
        <w:t>Las opciones “No sabe / No responde” se codificarán como valor perdido (NA), pero contabilizables para inferir incertidumbre o falta de gobernanza.</w:t>
      </w:r>
    </w:p>
    <w:p>
      <w:r>
        <w:t>Se recomienda documentar en un diccionario de datos:</w:t>
      </w:r>
    </w:p>
    <w:p>
      <w:pPr>
        <w:pStyle w:val="ListBullet"/>
        <w:keepLines w:val="1"/>
        <w:keepNext w:val="1"/>
        <w:widowControl w:val="1"/>
      </w:pPr>
      <w:r>
        <w:t xml:space="preserve">Código de cada pregunta (por ejemplo, GOB_1_1, RISK_2_3, INC_3_2, etc.).  </w:t>
      </w:r>
    </w:p>
    <w:p>
      <w:pPr>
        <w:pStyle w:val="ListBullet"/>
        <w:keepLines w:val="1"/>
        <w:keepNext w:val="1"/>
        <w:widowControl w:val="1"/>
      </w:pPr>
      <w:r>
        <w:t xml:space="preserve">Tipo de variable (nominal, ordinal, binaria).  </w:t>
      </w:r>
    </w:p>
    <w:p>
      <w:pPr>
        <w:pStyle w:val="ListBullet"/>
        <w:keepLines w:val="1"/>
        <w:keepNext w:val="1"/>
        <w:widowControl w:val="1"/>
      </w:pPr>
      <w:r>
        <w:t xml:space="preserve">Codificación numérica.  </w:t>
      </w:r>
    </w:p>
    <w:p>
      <w:pPr>
        <w:pStyle w:val="ListBullet"/>
        <w:keepLines w:val="1"/>
        <w:widowControl w:val="1"/>
      </w:pPr>
      <w:r>
        <w:t>Referencia normativa ENS/CCN‑STIC asociada (ver documento de mapeo).</w:t>
      </w:r>
    </w:p>
    <w:p>
      <w:pPr>
        <w:pStyle w:val="Heading3"/>
        <w:keepNext/>
        <w:keepLines/>
      </w:pPr>
      <w:r>
        <w:t>5. Indicadores sintéticos: IGM y otros índices</w:t>
      </w:r>
    </w:p>
    <w:p>
      <w:r>
        <w:t>La encuesta está pensada para alimentar, al menos, los siguientes indicadores:</w:t>
      </w:r>
    </w:p>
    <w:p>
      <w:pPr>
        <w:pStyle w:val="ListBullet"/>
        <w:keepLines w:val="1"/>
        <w:keepNext w:val="1"/>
        <w:widowControl w:val="1"/>
      </w:pPr>
      <w:r>
        <w:t>IGM (Índice Global de Madurez ENS):</w:t>
        <w:br/>
        <w:t xml:space="preserve">  Agregado ponderado de preguntas clave de gobierno, cumplimiento, riesgo, operación, ciberresiliencia y cultura.  </w:t>
      </w:r>
    </w:p>
    <w:p>
      <w:pPr>
        <w:pStyle w:val="ListBullet"/>
        <w:keepLines w:val="1"/>
        <w:keepNext w:val="1"/>
        <w:widowControl w:val="1"/>
      </w:pPr>
      <w:r>
        <w:t xml:space="preserve">Se recomienda una escala de 0 a 100.  </w:t>
      </w:r>
    </w:p>
    <w:p>
      <w:pPr>
        <w:pStyle w:val="ListBullet"/>
        <w:keepLines w:val="1"/>
        <w:keepNext w:val="1"/>
        <w:widowControl w:val="1"/>
      </w:pPr>
      <w:r>
        <w:br/>
        <w:t>Cada bloque puede tener una puntuación parcial, permitiendo comparaciones intra‑organización e inter‑organizaciones.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Indicadores específicos ENS (alineados con CCN‑STIC‑815 y 824): [web:32][web:33]  </w:t>
        <w:br/>
      </w:r>
    </w:p>
    <w:p>
      <w:pPr>
        <w:pStyle w:val="ListBullet"/>
        <w:keepLines w:val="1"/>
        <w:keepNext w:val="1"/>
        <w:widowControl w:val="1"/>
      </w:pPr>
      <w:r>
        <w:t xml:space="preserve">% de medidas ENS implantadas (percepción/realidad).  </w:t>
      </w:r>
    </w:p>
    <w:p>
      <w:pPr>
        <w:pStyle w:val="ListBullet"/>
        <w:keepLines w:val="1"/>
        <w:keepNext w:val="1"/>
        <w:widowControl w:val="1"/>
      </w:pPr>
      <w:r>
        <w:t xml:space="preserve">Nivel de uso efectivo de INES/AMPARO. [web:21][web:39]  </w:t>
      </w:r>
    </w:p>
    <w:p>
      <w:pPr>
        <w:pStyle w:val="ListBullet"/>
        <w:keepLines w:val="1"/>
        <w:keepNext w:val="1"/>
        <w:widowControl w:val="1"/>
      </w:pPr>
      <w:r>
        <w:t xml:space="preserve">Grado de institucionalización de análisis de riesgos.  </w:t>
      </w:r>
    </w:p>
    <w:p>
      <w:pPr>
        <w:pStyle w:val="ListBullet"/>
        <w:keepLines w:val="1"/>
        <w:keepNext w:val="1"/>
        <w:widowControl w:val="1"/>
      </w:pPr>
      <w:r>
        <w:t xml:space="preserve">Madurez de gestión de incidentes y continuidad.  </w:t>
      </w:r>
    </w:p>
    <w:p>
      <w:pPr>
        <w:pStyle w:val="ListBullet"/>
        <w:keepLines w:val="1"/>
        <w:keepNext w:val="1"/>
        <w:widowControl w:val="1"/>
      </w:pPr>
      <w:r>
        <w:br/>
        <w:t>Cobertura de MFA, cifrado, monitorización.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Indicadores de ciberresiliencia:  </w:t>
        <w:br/>
      </w:r>
    </w:p>
    <w:p>
      <w:pPr>
        <w:pStyle w:val="ListBullet"/>
        <w:keepLines w:val="1"/>
        <w:keepNext w:val="1"/>
        <w:widowControl w:val="1"/>
      </w:pPr>
      <w:r>
        <w:t xml:space="preserve">Existencia de BCP/DRP y pruebas.  </w:t>
      </w:r>
    </w:p>
    <w:p>
      <w:pPr>
        <w:pStyle w:val="ListBullet"/>
        <w:keepLines w:val="1"/>
        <w:keepNext w:val="1"/>
        <w:widowControl w:val="1"/>
      </w:pPr>
      <w:r>
        <w:t xml:space="preserve">Integración de ciberseguridad en la gestión de crisis.  </w:t>
      </w:r>
    </w:p>
    <w:p>
      <w:pPr>
        <w:pStyle w:val="ListBullet"/>
        <w:keepLines w:val="1"/>
        <w:widowControl w:val="1"/>
      </w:pPr>
      <w:r>
        <w:t>Medición de RTO/RPO y su cumplimiento.</w:t>
      </w:r>
    </w:p>
    <w:p>
      <w:r>
        <w:t>Cada bloque puede tener una puntuación parcial, permitiendo comparaciones intra‑organización e inter‑organizaciones.</w:t>
      </w:r>
    </w:p>
    <w:p>
      <w:r>
        <w:rPr>
          <w:b/>
        </w:rPr>
        <w:t>Indicadores específicos ENS</w:t>
      </w:r>
      <w:r>
        <w:t xml:space="preserve"> (alineados con CCN‑STIC‑815 y 824): [web:32][web:33]  </w:t>
      </w:r>
    </w:p>
    <w:p>
      <w:r>
        <w:t>Cobertura de MFA, cifrado, monitorización.</w:t>
      </w:r>
    </w:p>
    <w:p>
      <w:r>
        <w:rPr>
          <w:b/>
        </w:rPr>
        <w:t>Indicadores de ciberresiliencia</w:t>
      </w:r>
      <w:r>
        <w:t xml:space="preserve">:  </w:t>
      </w:r>
    </w:p>
    <w:p>
      <w:r>
        <w:t>Estos indicadores se calculan usando la plantilla propuesta para Excel (ver documento correspondiente).</w:t>
      </w:r>
    </w:p>
    <w:p>
      <w:pPr>
        <w:pStyle w:val="Heading3"/>
        <w:keepNext/>
        <w:keepLines/>
      </w:pPr>
      <w:r>
        <w:t>6. ROI de ciberseguridad y uso estratégico de resultados</w:t>
      </w:r>
    </w:p>
    <w:p>
      <w:r>
        <w:t>Aunque el ROI en ciberseguridad es conceptualmente esquivo, la encuesta permite aproximarse a él desde tres ángulos:</w:t>
      </w:r>
    </w:p>
    <w:p>
      <w:pPr>
        <w:pStyle w:val="ListNumber"/>
        <w:keepLines w:val="1"/>
        <w:keepNext w:val="1"/>
        <w:widowControl w:val="1"/>
      </w:pPr>
      <w:r>
        <w:t xml:space="preserve">Reducción de riesgo esperado:  </w:t>
      </w:r>
    </w:p>
    <w:p>
      <w:pPr>
        <w:pStyle w:val="ListNumber"/>
        <w:keepLines w:val="1"/>
        <w:keepNext w:val="1"/>
        <w:widowControl w:val="1"/>
      </w:pPr>
      <w:r>
        <w:t xml:space="preserve">Mejoras en indicadores de control se traducen, en marcos actuariales, en reducción de probabilidad/impacto de incidentes.  </w:t>
      </w:r>
    </w:p>
    <w:p>
      <w:pPr>
        <w:pStyle w:val="ListNumber"/>
        <w:keepLines w:val="1"/>
        <w:keepNext w:val="1"/>
        <w:widowControl w:val="1"/>
      </w:pPr>
      <w:r>
        <w:t xml:space="preserve">Eficiencia operacional:  </w:t>
      </w:r>
    </w:p>
    <w:p>
      <w:pPr>
        <w:pStyle w:val="ListNumber"/>
        <w:keepLines w:val="1"/>
        <w:keepNext w:val="1"/>
        <w:widowControl w:val="1"/>
      </w:pPr>
      <w:r>
        <w:t xml:space="preserve">Mayor madurez en procesos reduce tiempos de detección, respuesta y recuperación, con impacto directo en costes.  </w:t>
      </w:r>
    </w:p>
    <w:p>
      <w:pPr>
        <w:pStyle w:val="ListNumber"/>
        <w:keepLines w:val="1"/>
        <w:keepNext w:val="1"/>
        <w:widowControl w:val="1"/>
      </w:pPr>
      <w:r>
        <w:t xml:space="preserve">Valor regulatorio y reputacional:  </w:t>
      </w:r>
    </w:p>
    <w:p>
      <w:pPr>
        <w:pStyle w:val="ListNumber"/>
        <w:keepLines w:val="1"/>
        <w:widowControl w:val="1"/>
      </w:pPr>
      <w:r>
        <w:t>Cumplimiento ENS, NIS2 y marcos asociados reduce sanciones, conflictos contractuales y daños de imagen. [web:30][web:3]</w:t>
      </w:r>
    </w:p>
    <w:p>
      <w:r>
        <w:t>El análisis de ROI debe hacerse con prudencia (y algo de humor autocrítico), pero no por ello dejar de intentarlo: la plantilla de Excel propone métricas que combinan costes y mejoras de indicadores.</w:t>
      </w:r>
    </w:p>
    <w:p>
      <w:pPr>
        <w:pStyle w:val="Heading3"/>
        <w:keepNext/>
        <w:keepLines/>
      </w:pPr>
      <w:r>
        <w:t>7. Procedimiento de aplicación</w:t>
      </w:r>
    </w:p>
    <w:p>
      <w:pPr>
        <w:pStyle w:val="Heading4"/>
        <w:keepNext/>
        <w:keepLines/>
      </w:pPr>
      <w:r>
        <w:t>7.1. Preparación</w:t>
      </w:r>
    </w:p>
    <w:p>
      <w:pPr>
        <w:pStyle w:val="ListBullet"/>
        <w:keepLines w:val="1"/>
        <w:keepNext w:val="1"/>
        <w:widowControl w:val="1"/>
      </w:pPr>
      <w:r>
        <w:t xml:space="preserve">Designar un coordinador interno de la encuesta (idealmente el CISO o responsable ENS).  </w:t>
      </w:r>
    </w:p>
    <w:p>
      <w:pPr>
        <w:pStyle w:val="ListBullet"/>
        <w:keepLines w:val="1"/>
        <w:keepNext w:val="1"/>
        <w:widowControl w:val="1"/>
      </w:pPr>
      <w:r>
        <w:t xml:space="preserve">Revisar el cuestionario y adaptar, solo si es imprescindible, términos muy específicos al vocabulario local.  </w:t>
      </w:r>
    </w:p>
    <w:p>
      <w:pPr>
        <w:pStyle w:val="ListBullet"/>
        <w:keepLines w:val="1"/>
        <w:widowControl w:val="1"/>
      </w:pPr>
      <w:r>
        <w:t>Informar a los participantes del propósito y de la confidencialidad de los resultados.</w:t>
      </w:r>
    </w:p>
    <w:p>
      <w:pPr>
        <w:pStyle w:val="Heading4"/>
        <w:keepNext/>
        <w:keepLines/>
      </w:pPr>
      <w:r>
        <w:t>7.2. Recogida de datos</w:t>
      </w:r>
    </w:p>
    <w:p>
      <w:pPr>
        <w:pStyle w:val="ListBullet"/>
        <w:keepLines w:val="1"/>
        <w:keepNext w:val="1"/>
        <w:widowControl w:val="1"/>
      </w:pPr>
      <w:r>
        <w:t xml:space="preserve">Se recomienda rellenar la encuesta de forma colaborativa (CISO, TI, riesgos, continuidad, RRHH, etc.).  </w:t>
      </w:r>
    </w:p>
    <w:p>
      <w:pPr>
        <w:pStyle w:val="ListBullet"/>
        <w:keepLines w:val="1"/>
        <w:keepNext w:val="1"/>
        <w:widowControl w:val="1"/>
      </w:pPr>
      <w:r>
        <w:t xml:space="preserve">Es preferible sacrificar velocidad a cambio de veracidad: mejor una respuesta honesta en dos semanas que un “todo verde” en dos días.  </w:t>
      </w:r>
    </w:p>
    <w:p>
      <w:pPr>
        <w:pStyle w:val="ListBullet"/>
        <w:keepLines w:val="1"/>
        <w:widowControl w:val="1"/>
      </w:pPr>
      <w:r>
        <w:t>La encuesta puede realizarse en formato digital (formulario web, herramienta de encuestas) o en versión distribuida en plantilla.</w:t>
      </w:r>
    </w:p>
    <w:p>
      <w:pPr>
        <w:pStyle w:val="Heading4"/>
        <w:keepNext/>
        <w:keepLines/>
      </w:pPr>
      <w:r>
        <w:t>7.3. Control de calidad</w:t>
      </w:r>
    </w:p>
    <w:p>
      <w:pPr>
        <w:pStyle w:val="ListBullet"/>
        <w:keepLines w:val="1"/>
        <w:keepNext w:val="1"/>
        <w:widowControl w:val="1"/>
      </w:pPr>
      <w:r>
        <w:t xml:space="preserve">Revisar consistencia de respuestas (por ejemplo, no tener “cifrado sistemático” y al tiempo “ausencia de políticas de cifrado”).  </w:t>
      </w:r>
    </w:p>
    <w:p>
      <w:pPr>
        <w:pStyle w:val="ListBullet"/>
        <w:keepLines w:val="1"/>
        <w:keepNext w:val="1"/>
        <w:widowControl w:val="1"/>
      </w:pPr>
      <w:r>
        <w:t xml:space="preserve">Verificar que las preguntas más críticas para el IGM están respondidas.  </w:t>
      </w:r>
    </w:p>
    <w:p>
      <w:pPr>
        <w:pStyle w:val="ListBullet"/>
        <w:keepLines w:val="1"/>
        <w:widowControl w:val="1"/>
      </w:pPr>
      <w:r>
        <w:t>Documentar aclaraciones o matices importantes en comentarios adicionales.</w:t>
      </w:r>
    </w:p>
    <w:p>
      <w:pPr>
        <w:pStyle w:val="Heading3"/>
        <w:keepNext/>
        <w:keepLines/>
      </w:pPr>
      <w:r>
        <w:t>8. Análisis y explotación</w:t>
      </w:r>
    </w:p>
    <w:p>
      <w:r>
        <w:t>El análisis debe contemplar:</w:t>
      </w:r>
    </w:p>
    <w:p>
      <w:pPr>
        <w:pStyle w:val="ListNumber"/>
        <w:keepLines w:val="1"/>
        <w:keepNext w:val="1"/>
        <w:widowControl w:val="1"/>
      </w:pPr>
      <w:r>
        <w:t xml:space="preserve">Resultados por bloque: gobierno, riesgo, operación, recursos, cultura, métricas.  </w:t>
      </w:r>
    </w:p>
    <w:p>
      <w:pPr>
        <w:pStyle w:val="ListNumber"/>
        <w:keepLines w:val="1"/>
        <w:keepNext w:val="1"/>
        <w:widowControl w:val="1"/>
      </w:pPr>
      <w:r>
        <w:t xml:space="preserve">Comparación con otras organizaciones del mismo tipo (tamaño, sector, administración vs. proveedor).  </w:t>
      </w:r>
    </w:p>
    <w:p>
      <w:pPr>
        <w:pStyle w:val="ListNumber"/>
        <w:keepLines w:val="1"/>
        <w:keepNext w:val="1"/>
        <w:widowControl w:val="1"/>
      </w:pPr>
      <w:r>
        <w:t xml:space="preserve">Identificación de huecos de cumplimiento ENS y prioridades de actuación.  </w:t>
      </w:r>
    </w:p>
    <w:p>
      <w:pPr>
        <w:pStyle w:val="ListNumber"/>
        <w:keepLines w:val="1"/>
        <w:keepNext w:val="1"/>
        <w:widowControl w:val="1"/>
      </w:pPr>
      <w:r>
        <w:t xml:space="preserve">Preparación de mensajes clave para la alta dirección:  </w:t>
      </w:r>
    </w:p>
    <w:p>
      <w:pPr>
        <w:pStyle w:val="ListNumber"/>
        <w:keepLines w:val="1"/>
        <w:keepNext w:val="1"/>
        <w:widowControl w:val="1"/>
      </w:pPr>
      <w:r>
        <w:t xml:space="preserve">3 riesgos estructurales.  </w:t>
      </w:r>
    </w:p>
    <w:p>
      <w:pPr>
        <w:pStyle w:val="ListNumber"/>
        <w:keepLines w:val="1"/>
        <w:keepNext w:val="1"/>
        <w:widowControl w:val="1"/>
      </w:pPr>
      <w:r>
        <w:t xml:space="preserve">3 fortalezas.  </w:t>
      </w:r>
    </w:p>
    <w:p>
      <w:pPr>
        <w:pStyle w:val="ListNumber"/>
        <w:keepLines w:val="1"/>
        <w:widowControl w:val="1"/>
      </w:pPr>
      <w:r>
        <w:t>3 decisiones recomendadas a corto/medio plazo.</w:t>
      </w:r>
    </w:p>
    <w:p>
      <w:r>
        <w:t>La encuesta está diseñada para ser repetida (por ejemplo, anual o bianualmente), lo que permitirá observar tendencias y medir el progreso, no solo la foto fija.</w:t>
      </w:r>
    </w:p>
    <w:p>
      <w:pPr>
        <w:pStyle w:val="Heading3"/>
        <w:keepNext/>
        <w:keepLines/>
      </w:pPr>
      <w:r>
        <w:t>9. Consideraciones éticas y de confidencialidad</w:t>
      </w:r>
    </w:p>
    <w:p>
      <w:pPr>
        <w:pStyle w:val="ListBullet"/>
        <w:keepLines w:val="1"/>
        <w:keepNext w:val="1"/>
        <w:widowControl w:val="1"/>
      </w:pPr>
      <w:r>
        <w:t xml:space="preserve">Los datos deben tratarse de acuerdo con la normativa de protección de datos y de seguridad de la información aplicable.  </w:t>
      </w:r>
    </w:p>
    <w:p>
      <w:pPr>
        <w:pStyle w:val="ListBullet"/>
        <w:keepLines w:val="1"/>
        <w:keepNext w:val="1"/>
        <w:widowControl w:val="1"/>
      </w:pPr>
      <w:r>
        <w:t xml:space="preserve">En análisis agregados (por ejemplo, informes sectoriales), se recomienda anonimizar las entidades salvo consentimiento explícito.  </w:t>
      </w:r>
    </w:p>
    <w:p>
      <w:pPr>
        <w:pStyle w:val="ListBullet"/>
        <w:keepLines w:val="1"/>
        <w:widowControl w:val="1"/>
      </w:pPr>
      <w:r>
        <w:t>Cualquier publicación de resultados debe evitar clasificar públicamente a organizaciones concretas como “inseguras” sin contexto, por higiene profesional y por simple prudencia jurídica.</w:t>
      </w:r>
    </w:p>
    <w:p>
      <w:pPr>
        <w:pStyle w:val="Heading3"/>
        <w:keepNext/>
        <w:keepLines/>
      </w:pPr>
      <w:r>
        <w:t>10. Limitaciones y posibles extensiones</w:t>
      </w:r>
    </w:p>
    <w:p>
      <w:r>
        <w:t>Limitaciones inevitables:</w:t>
      </w:r>
    </w:p>
    <w:p>
      <w:pPr>
        <w:pStyle w:val="ListBullet"/>
        <w:keepLines w:val="1"/>
        <w:keepNext w:val="1"/>
        <w:widowControl w:val="1"/>
      </w:pPr>
      <w:r>
        <w:t xml:space="preserve">Dependencia de la autoevaluación: la percepción puede no coincidir con la realidad técnica.  </w:t>
      </w:r>
    </w:p>
    <w:p>
      <w:pPr>
        <w:pStyle w:val="ListBullet"/>
        <w:keepLines w:val="1"/>
        <w:keepNext w:val="1"/>
        <w:widowControl w:val="1"/>
      </w:pPr>
      <w:r>
        <w:t xml:space="preserve">Diferencias de interpretación de ciertos términos, pese a los esfuerzos de estandarización.  </w:t>
      </w:r>
    </w:p>
    <w:p>
      <w:pPr>
        <w:pStyle w:val="ListBullet"/>
        <w:keepLines w:val="1"/>
        <w:widowControl w:val="1"/>
      </w:pPr>
      <w:r>
        <w:t>Evolución normativa (ENS, NIS2, otros marcos) que puede hacer necesaria una revisión periódica del cuestionario.</w:t>
      </w:r>
    </w:p>
    <w:p>
      <w:r>
        <w:t>Posibles extensiones futuras:</w:t>
      </w:r>
    </w:p>
    <w:p>
      <w:pPr>
        <w:pStyle w:val="ListBullet"/>
        <w:keepLines w:val="1"/>
        <w:keepNext w:val="1"/>
        <w:widowControl w:val="1"/>
      </w:pPr>
      <w:r>
        <w:t xml:space="preserve">Módulos específicos por sector (salud, educación, justicia, etc.).  </w:t>
      </w:r>
    </w:p>
    <w:p>
      <w:pPr>
        <w:pStyle w:val="ListBullet"/>
        <w:keepLines w:val="1"/>
        <w:keepNext w:val="1"/>
        <w:widowControl w:val="1"/>
      </w:pPr>
      <w:r>
        <w:t xml:space="preserve">Integración con datos objetivos (número real de incidentes, auditorías, sanciones).  </w:t>
      </w:r>
    </w:p>
    <w:p>
      <w:pPr>
        <w:pStyle w:val="ListBullet"/>
        <w:keepLines w:val="1"/>
        <w:widowControl w:val="1"/>
      </w:pPr>
      <w:r>
        <w:t>Cuestionarios complementarios para proveedores críticos (cadenas de suministro).</w:t>
      </w:r>
    </w:p>
    <w:p>
      <w:r>
        <w:t>Mientras tanto, esta encuesta pretende ser un marco de referencia suficientemente robusto para dialogar con dirección, auditoría, reguladores y, por qué no, con la propia conciencia profesional del CISO.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