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a Requisitos Normativos ENS / CCN‑STIC</w:t>
      </w:r>
    </w:p>
    <w:p>
      <w:r>
        <w:t>Nota: Este mapeo es orientativo y se basa en la alineación conceptual con ENS (RD 311/2022) y guías CCN‑STIC‑815 (métricas) y 824 (informe de estado), así como con el uso de INES/AMPARO. [web:30][web:32][web:33][web:21][web:39]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 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 / Pregunta (resumen)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ENS / CCN‑STIC principales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alineación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0.1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Tipo de entidad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art. 2; RD 311/2022 ámbito subjetivo [web:30]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Determina la aplicabilidad y obligaciones concretas respecto al ENS y al Informe INES.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0.5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Certificación ENS actual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art. 36 (declaración de conformidad y certificación); CCN‑STIC‑808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 el grado de formalización de la adecuación ENS y su verificación externa.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 de seguridad aprobada por 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Anexo II medidas organizativas; art. 11 [web:30]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 la existencia de una política formal, requisito básico de gobernanza.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Comité de Seguridad de la Información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Anexo II (organización de la seguridad) [web:30]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Refleja la existencia de órganos de gobierno y coordinación en materia de seguridad.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Cumplimentación Informe INES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art. 12 (informe de estado); CCN‑STIC‑824; Plataforma INES [web:21][web:33][web:39]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el grado de cumplimiento de la obligación de informar y de alimentar el Informe Nacional.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AMPARO para gobernanza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Herramientas de gobernanza CCN (INES/AMPARO) [web:21][web:39]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 la integración de AMPARO en la gestión documental y de planes de adecuación ENS.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1.2.3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Declaración de Aplicabilidad (DA)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Anexo II; CCN‑STIC‑808/881 (auditoría y adecuación) [web:28][web:23]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La DA es una pieza clave en la verificación de medidas ENS; esta pregunta mide su existencia y actualización.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1.3.1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Porcentaje de medidas ENS implantadas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Anexo II; CCN‑STIC‑815 (métricas de cumplimiento) [web:32][web:35]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Relacionada con indicadores de cobertura de medidas definidos en CCN‑STIC‑815.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1.3.3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Identificación y categorización de sistemas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art. 10 (categorías de sistemas); Anexo I [web:30]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Fundamental para determinar el nivel de exigencia de medidas y el alcance de la certificación.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Metodología de análisis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art. 35 (evaluación de seguridad); MAGERIT / PILAR [web:30][web:38]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 la adopción de metodologías reconocidas para análisis de riesgo, coherente con ENS y CCN‑STIC.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 del análisis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art. 35; CCN‑STIC‑815 (métricas de periodicidad) [web:32][web:35]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la regularidad con la que se actualizan los análisis requeridos por ENS.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autenticación multifactor (MFA)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Anexo II (control de acceso); guías CCN‑STIC específicas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 alineado con medidas de protección de acceso, reforzado por marcos Zero Trust.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2.2.3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Segmentación y microsegmentación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Anexo II (protección de redes y sistemas)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Refleja la implantación de controles de segmentación asociados a modelos de defensa en profundidad y Zero Trust.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2.3.1/2.3.2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Cifrado en tránsito y en reposo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Anexo II (protección de la información); guías criptográficas CCN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 la implantación de medidas criptográficas, parte nuclear de ENS y de buenas prácticas internacionales.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2.3.3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de riesgo criptográfico y post‑cuántico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art. 35; marcos de riesgo emergente [web:12][web:3]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Introduce dimensión de amenazas avanzadas, alineada con análisis de riesgo extendido.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Procedimiento de gestión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Anexo II (gestión de incidentes); CCN‑STIC‑817 [web:25]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Verifica la existencia de procesos de gestión de incidentes conforme a ENS.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Cálculo de MTTD y MTTR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CCN‑STIC‑815 (indicadores de eficacia); CCN‑STIC‑824 [web:32][web:33]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el uso de indicadores de eficacia operativa, recomendados en las guías de métricas.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de monitorización (SIEM/SOC)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Anexo II (monitorización); op.mon.2 (sistema de métricas) [web:32][web:35]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Vinculado al requisito ENS de disponer de monitorización y métricas de seguridad.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3.2.3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Simulacros y ejercicios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Anexo II (continuidad y pruebas); CCN‑STIC‑824 [web:33]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Relacionado con la obligación de ejercitar y evaluar la capacidad de respuesta.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3.3.1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BCP/DRP con ciberincidentes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Anexo II (continuidad de la actividad); art. 27 [web:30]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Pregunta clave sobre integración de la seguridad en la continuidad de negocio.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Porcentaje de presupuesto destinado a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CCN‑STIC‑815 (métricas de recursos); informes de situación de ciberseguridad [web:8][web:13][web:32]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Relacionado con métricas de esfuerzo inversor en seguridad.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Programas de formación en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Anexo II (capacitación y concienciación) [web:30]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 el cumplimiento de medidas de concienciación exigidas por ENS.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Campañas de concienciación y simulaciones de phishing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CCN‑STIC‑815 (métricas de cultura); informes industriales [web:8][web:13][web:32]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Indicadores de madurez de cultura de seguridad.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Existencia de cuadro de mando de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CCN‑STIC‑815 (sistema de métricas e indicadores) [web:32][web:35]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Pregunta central sobre institucionalización de la medición de la seguridad.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CCN‑STIC‑815 y 824 como referencia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CCN‑STIC‑815 y 824 [web:32][web:33]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Verifica el alineamiento con las guías oficiales de métricas e informe de estado.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INES/AMPARO para priorizar inversiones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art. 12; INES como herramienta de indicadores [web:21][web:39]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el grado en que la métrica ENS se utiliza para la planificación estratégica y presupuestaria.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Definición de modelos de ROI en 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CCN‑STIC‑815 (métricas de eficiencia y coste) [web:32][web:35]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Relacionado con la evaluación de la eficiencia de las medidas de seguridad.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6.1/6.2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Prioridades estratégicas y barreras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ENS art. 35; CCN‑STIC‑824 (identificación de áreas de mejora) [web:33]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Preguntas abiertas que permiten contextualizar las necesidades de mejora identificadas en ENS y el sistema de indicadores.</w:t>
            </w:r>
          </w:p>
        </w:tc>
      </w:tr>
    </w:tbl>
    <w:p/>
    <w:p>
      <w:r>
        <w:t>El mapeo completo a nivel de cada ítem puede ampliarse añadiendo una fila por pregunta, con el código interno utilizado en el Excel y referencias a otros marcos (ISO 27001, NIST CSF, NIS2) para análisis comparados.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