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Mapeo detallado de preguntas a requisitos normativos y GQM</w:t>
      </w:r>
    </w:p>
    <w:p>
      <w:pPr>
        <w:pStyle w:val="Heading2"/>
        <w:keepNext/>
        <w:keepLines/>
      </w:pPr>
      <w:r>
        <w:rPr>
          <w:color w:val="0066CC"/>
        </w:rPr>
        <w:t>Encuesta AMPARO–ENS con enfoque GQM</w:t>
      </w:r>
    </w:p>
    <w:p>
      <w:r>
        <w:t>Este mapeo complementa el anterior, incorporando la relación explícita entre Objetivos GQM, Preguntas de la encuesta y referencias ENS / CCN‑STIC. [web:30][web:32][web:33][web:21][web:39]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Código pregunta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Objetivo GQM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 (resumen)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 principal asociada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Referencias normativas ENS / CCN‑STIC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1.1.1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¿Existe una política de seguridad aprobada por el órgano de dirección?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M1.0 – Existencia y vigencia de política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 art. 11; Anexo II (organización de la seguridad). [web:30]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1.1.3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¿Dispone la organización de un Comité de Seguridad de la Información?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M1.0b – Existencia y actividad del Comité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 Anexo II (gobernanza). [web:30]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1.2.1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G1/G6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¿Se cumplimenta el Informe INES de forma sistemática?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M6.0 – Uso efectivo de INES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 art. 12; CCN‑STIC‑824; plataforma INES. [web:30][web:21][web:33]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1.2.2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G1/G6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¿Se utiliza AMPARO para gobernanza ENS?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M6.0b – Uso de AMPARO en planes ENS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Herramientas CCN de gobernanza ENS. [web:21][web:39]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1.2.3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¿Existe y se mantiene la Declaración de Aplicabilidad (DA)?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M1.2 – Edad de la DA; M1.2b – Cobertura DA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 Anexo II; CCN‑STIC‑808/881. [web:28][web:23]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1.3.1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Porcentaje estimado de medidas ENS implantadas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M1.1 – % medidas ENS implantadas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 Anexo II; CCN‑STIC‑815 (métricas de cumplimiento). [web:32][web:35]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1.3.3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Identificación y categorización de sistemas ENS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M1.3b – % sistemas categorizados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 art. 10, Anexo I. [web:30]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2.1.1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Metodología de análisis de riesgos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M2.1 – Nivel de formalización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 art. 35; MAGERIT/PILAR; CCN‑STIC sobre riesgos. [web:30][web:38]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2.1.2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Frecuencia del análisis de riesgos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M2.2 – Antigüedad media de análisis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 art. 35; CCN‑STIC‑815 (periodicidad). [web:32]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2.1.3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Registro consolidado de riesgos con planes de tratamiento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M2.3 – % de riesgos críticos gestionados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 art. 35; integración con gestión de riesgos. [web:30][web:38]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2.2.2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Cobertura de MFA en accesos críticos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M3.1 – % cuentas privilegiadas/usuarios con MFA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 Anexo II (acceso); Zero Trust fabricantes. [web:2][web:11][web:15]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2.2.3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Segmentación y microsegmentación de red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M3.2 – Índice de segmentación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 Anexo II (protección de redes). [web:30]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2.2.4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Verificación contextual de accesos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M3.3 – % recursos con acceso condicional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Zero Trust (context‑based access). [web:11][web:15]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2.3.1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Cifrado de datos en tránsito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M2.4 – % servicios críticos con TLS seguro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 Anexo II (protección de la información). [web:30]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2.3.2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Cifrado de datos en reposo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M2.5 – % bases de datos/almacenamientos cifrados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 Anexo II (protección de la información). [web:30]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2.3.3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Análisis sobre riesgo criptográfico avanzado / post‑cuántico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M2.6 – Existencia de análisis criptográfico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 art. 35; riesgo emergente. [web:12][web:3]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3.1.1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Procedimiento formal de gestión de incidentes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M4.0 – Existencia y uso del procedimiento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 Anexo II (incidentes); CCN‑STIC‑817. [web:25]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3.1.3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Cálculo de MTTD y MTTR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M4.1 – MTTD; M4.1b – MTTR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CCN‑STIC‑815 (eficacia); 817. [web:32][web:25]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3.2.1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Cobertura de monitorización (SIEM/SOC)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M4.2 – % sistemas críticos monitorizados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 Anexo II (monitorización); CCN‑STIC‑815. [web:32][web:30]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3.3.1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BCP/DRP que incluyan ciberincidentes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M4.3 – Existencia y grado de prueba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 Anexo II (continuidad); art. 27. [web:30]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3.3.3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Medición y cumplimiento de RTO/RPO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M4.4 – % incidentes que cumplen RTO/RPO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 continuidad de servicios esenciales. [web:30]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4.1.1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% del presupuesto TI dedicado a ciberseguridad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M5.1 – % presupuesto seguridad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CCN‑STIC‑815 (métricas de recursos); informes industriales. [web:32][web:8][web:13]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4.2.1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Programas de formación en ciberseguridad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M5.2 – Cobertura de formación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 Anexo II (concienciación). [web:30]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4.2.2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Campañas de concienciación (phishing, etc.)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M5.3 – Frecuencia y alcance de campañas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CCN‑STIC‑815 (métricas de cultura); informes sectoriales. [web:32][web:8][web:13]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5.1.1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Existencia de cuadro de mando de ciberseguridad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M6.1 – Nº de indicadores activos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CCN‑STIC‑815/824 (sistema de métricas). [web:32][web:33]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5.1.3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Uso de CCN‑STIC‑815/824 como referencia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M6.2 – Nivel de alineamiento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CCN‑STIC‑815/824. [web:32][web:33]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5.2.1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G5/G6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Uso de INES/AMPARO para priorizar inversiones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M6.3 – Grado de integración métrica‑planificación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 art. 12; INES/AMPARO. [web:21][web:39]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5.2.2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G5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Definición de modelos de ROI en ciberseguridad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M5.4 – Existencia de modelos ROI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CCN‑STIC‑815 (eficiencia/coste). [web:32]</w:t>
            </w:r>
          </w:p>
        </w:tc>
      </w:tr>
    </w:tbl>
    <w:p/>
    <w:p>
      <w:r>
        <w:t>Este cuadro puede extenderse incorporando columnas adicionales: pesos para el IGM, criterios PRAGMATIC clave y notas específicas por organización.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