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de Ciberseguridad</w:t>
      </w:r>
    </w:p>
    <w:p>
      <w:pPr>
        <w:pStyle w:val="Heading2"/>
        <w:keepNext/>
        <w:keepLines/>
      </w:pPr>
      <w:r>
        <w:rPr>
          <w:color w:val="0066CC"/>
        </w:rPr>
        <w:t>Basado en la Encuesta AMPARO–ENS</w:t>
      </w:r>
    </w:p>
    <w:p>
      <w:r>
        <w:t>Esta plantilla está pensada para implementarse en Excel (o herramienta equivalente), a partir de las respuestas a la encuesta.</w:t>
      </w:r>
    </w:p>
    <w:p>
      <w:pPr>
        <w:pStyle w:val="Heading3"/>
        <w:keepNext/>
        <w:keepLines/>
      </w:pPr>
      <w:r>
        <w:t>1. Estructura de hojas</w:t>
      </w:r>
    </w:p>
    <w:p>
      <w:r>
        <w:t>Se recomienda crear, al menos, las siguientes hojas:</w:t>
      </w:r>
    </w:p>
    <w:p>
      <w:pPr>
        <w:pStyle w:val="ListNumber"/>
        <w:keepLines w:val="1"/>
        <w:keepNext w:val="1"/>
        <w:widowControl w:val="1"/>
      </w:pPr>
      <w:r>
        <w:t xml:space="preserve">Diccionario – catálogo de preguntas, códigos y pesos.  </w:t>
      </w:r>
    </w:p>
    <w:p>
      <w:pPr>
        <w:pStyle w:val="ListNumber"/>
        <w:keepLines w:val="1"/>
        <w:keepNext w:val="1"/>
        <w:widowControl w:val="1"/>
      </w:pPr>
      <w:r>
        <w:t xml:space="preserve">Respuestas – matriz de respuestas de cada organización.  </w:t>
      </w:r>
    </w:p>
    <w:p>
      <w:pPr>
        <w:pStyle w:val="ListNumber"/>
        <w:keepLines w:val="1"/>
        <w:keepNext w:val="1"/>
        <w:widowControl w:val="1"/>
      </w:pPr>
      <w:r>
        <w:t xml:space="preserve">IGM – cálculo del Índice Global de Madurez y subíndices.  </w:t>
      </w:r>
    </w:p>
    <w:p>
      <w:pPr>
        <w:pStyle w:val="ListNumber"/>
        <w:keepLines w:val="1"/>
        <w:keepNext w:val="1"/>
        <w:widowControl w:val="1"/>
      </w:pPr>
      <w:r>
        <w:t xml:space="preserve">ROI – estimaciones de retorno de inversión de ciberseguridad.  </w:t>
      </w:r>
    </w:p>
    <w:p>
      <w:pPr>
        <w:pStyle w:val="ListNumber"/>
        <w:keepLines w:val="1"/>
        <w:widowControl w:val="1"/>
      </w:pPr>
      <w:r>
        <w:t>Resumen – tablas y gráficos de resultados.</w:t>
      </w:r>
    </w:p>
    <w:p>
      <w:pPr>
        <w:pStyle w:val="Heading3"/>
        <w:keepNext/>
        <w:keepLines/>
      </w:pPr>
      <w:r>
        <w:t>2. Hoja Diccionario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CODIGO – Identificador de la pregunta (ej. GOB_1_1, RISK_2_2).  </w:t>
      </w:r>
    </w:p>
    <w:p>
      <w:pPr>
        <w:pStyle w:val="ListBullet"/>
        <w:keepLines w:val="1"/>
        <w:keepNext w:val="1"/>
        <w:widowControl w:val="1"/>
      </w:pPr>
      <w:r>
        <w:t xml:space="preserve">BLOQUE – Gobierno, Riesgo, Operación, Recursos, Cultura, Métricas.  </w:t>
      </w:r>
    </w:p>
    <w:p>
      <w:pPr>
        <w:pStyle w:val="ListBullet"/>
        <w:keepLines w:val="1"/>
        <w:keepNext w:val="1"/>
        <w:widowControl w:val="1"/>
      </w:pPr>
      <w:r>
        <w:t xml:space="preserve">DESCRIPCION_PREGUNTA – Resumen de la pregunta.  </w:t>
      </w:r>
    </w:p>
    <w:p>
      <w:pPr>
        <w:pStyle w:val="ListBullet"/>
        <w:keepLines w:val="1"/>
        <w:keepNext w:val="1"/>
        <w:widowControl w:val="1"/>
      </w:pPr>
      <w:r>
        <w:t xml:space="preserve">TIPO – Binaria / Ordinal / Nominal / Abierta.  </w:t>
      </w:r>
    </w:p>
    <w:p>
      <w:pPr>
        <w:pStyle w:val="ListBullet"/>
        <w:keepLines w:val="1"/>
        <w:keepNext w:val="1"/>
        <w:widowControl w:val="1"/>
      </w:pPr>
      <w:r>
        <w:t xml:space="preserve">VALOR_MIN – Valor mínimo (normalizado).  </w:t>
      </w:r>
    </w:p>
    <w:p>
      <w:pPr>
        <w:pStyle w:val="ListBullet"/>
        <w:keepLines w:val="1"/>
        <w:keepNext w:val="1"/>
        <w:widowControl w:val="1"/>
      </w:pPr>
      <w:r>
        <w:t xml:space="preserve">VALOR_MAX – Valor máximo (normalizado).  </w:t>
      </w:r>
    </w:p>
    <w:p>
      <w:pPr>
        <w:pStyle w:val="ListBullet"/>
        <w:keepLines w:val="1"/>
        <w:keepNext w:val="1"/>
        <w:widowControl w:val="1"/>
      </w:pPr>
      <w:r>
        <w:t xml:space="preserve">PESO_IGM – Peso relativo de la pregunta en el IGM (0–1).  </w:t>
      </w:r>
    </w:p>
    <w:p>
      <w:pPr>
        <w:pStyle w:val="ListBullet"/>
        <w:keepLines w:val="1"/>
        <w:keepNext w:val="1"/>
        <w:widowControl w:val="1"/>
      </w:pPr>
      <w:r>
        <w:t xml:space="preserve">PESO_SUBINDICE – Peso en el subíndice del bloque.  </w:t>
      </w:r>
    </w:p>
    <w:p>
      <w:pPr>
        <w:pStyle w:val="ListBullet"/>
        <w:keepLines w:val="1"/>
        <w:widowControl w:val="1"/>
      </w:pPr>
      <w:r>
        <w:t>REFERENCIA_ENS – Artículo / Anexo / Guía CCN‑STIC asociada.</w:t>
      </w:r>
    </w:p>
    <w:p>
      <w:r>
        <w:t>Ejemplo de filas:</w:t>
      </w:r>
    </w:p>
    <w:p>
      <w:pPr>
        <w:pStyle w:val="ListBullet"/>
        <w:keepLines w:val="1"/>
        <w:keepNext w:val="1"/>
        <w:widowControl w:val="1"/>
      </w:pPr>
      <w:r>
        <w:t xml:space="preserve">GOB_1_1 – Política de seguridad aprobada – Tipo: Ordinal – VALOR_MIN=0; VALOR_MAX=3; PESO_IGM=0,02.  </w:t>
      </w:r>
    </w:p>
    <w:p>
      <w:pPr>
        <w:pStyle w:val="ListBullet"/>
        <w:keepLines w:val="1"/>
        <w:keepNext w:val="1"/>
        <w:widowControl w:val="1"/>
      </w:pPr>
      <w:r>
        <w:t xml:space="preserve">RISK_2_1 – Metodología de análisis de riesgos – Ordinal – VALOR_MIN=0; VALOR_MAX=3; PESO_IGM=0,03.  </w:t>
      </w:r>
    </w:p>
    <w:p>
      <w:pPr>
        <w:pStyle w:val="ListBullet"/>
        <w:keepLines w:val="1"/>
        <w:widowControl w:val="1"/>
      </w:pPr>
      <w:r>
        <w:t>INC_3_3 – MTTD/MTTR medidos – Binaria/Ordinal – VALOR_MIN=0; VALOR_MAX=2; PESO_IGM=0,03.</w:t>
      </w:r>
    </w:p>
    <w:p>
      <w:r>
        <w:t xml:space="preserve">La suma de </w:t>
      </w:r>
      <w:r>
        <w:rPr>
          <w:rFonts w:ascii="Courier New" w:hAnsi="Courier New"/>
          <w:sz w:val="18"/>
        </w:rPr>
        <w:t>PESO_IGM</w:t>
      </w:r>
      <w:r>
        <w:t xml:space="preserve"> de las preguntas seleccionadas debe ser 1.</w:t>
      </w:r>
    </w:p>
    <w:p>
      <w:pPr>
        <w:pStyle w:val="Heading3"/>
        <w:keepNext/>
        <w:keepLines/>
      </w:pPr>
      <w:r>
        <w:t>3. Hoja Respuestas</w:t>
      </w:r>
    </w:p>
    <w:p>
      <w:r>
        <w:t>Cada fila representará una organización. Las columnas incluirán:</w:t>
      </w:r>
    </w:p>
    <w:p>
      <w:pPr>
        <w:pStyle w:val="ListBullet"/>
        <w:keepLines w:val="1"/>
        <w:keepNext w:val="1"/>
        <w:widowControl w:val="1"/>
      </w:pPr>
      <w:r>
        <w:t xml:space="preserve">ORG_ID – Identificador (anónimo) de la organización.  </w:t>
      </w:r>
    </w:p>
    <w:p>
      <w:pPr>
        <w:pStyle w:val="ListBullet"/>
        <w:keepLines w:val="1"/>
        <w:keepNext w:val="1"/>
        <w:widowControl w:val="1"/>
      </w:pPr>
      <w:r>
        <w:t xml:space="preserve">TIPO_ENTIDAD, TAMANO, SECTOR, etc. (metadatos).  </w:t>
      </w:r>
    </w:p>
    <w:p>
      <w:pPr>
        <w:pStyle w:val="ListBullet"/>
        <w:keepLines w:val="1"/>
        <w:widowControl w:val="1"/>
      </w:pPr>
      <w:r>
        <w:t>Una columna por cada CODIGO de pregunta, con la respuesta ya codificada numéricamente.</w:t>
      </w:r>
    </w:p>
    <w:p>
      <w:r>
        <w:t>Ejemplo de codificación:</w:t>
      </w:r>
    </w:p>
    <w:p>
      <w:pPr>
        <w:pStyle w:val="ListBullet"/>
        <w:keepLines w:val="1"/>
        <w:keepNext w:val="1"/>
        <w:widowControl w:val="1"/>
      </w:pPr>
      <w:r>
        <w:t xml:space="preserve">GOB_1_1: 0 = No existe política; 1 = En elaboración; 2 = Aprobada, desactualizada; 3 = Aprobada, vigente.  </w:t>
      </w:r>
    </w:p>
    <w:p>
      <w:pPr>
        <w:pStyle w:val="ListBullet"/>
        <w:keepLines w:val="1"/>
        <w:widowControl w:val="1"/>
      </w:pPr>
      <w:r>
        <w:t>ZT_2_2 (MFA): 0 = No se usa; 1 = uso parcial; 2 = alta cobertura; 3 = 100 % accesos críticos.</w:t>
      </w:r>
    </w:p>
    <w:p>
      <w:pPr>
        <w:pStyle w:val="Heading3"/>
        <w:keepNext/>
        <w:keepLines/>
      </w:pPr>
      <w:r>
        <w:t>4. Hoja IGM</w:t>
      </w:r>
    </w:p>
    <w:p>
      <w:pPr>
        <w:pStyle w:val="Heading4"/>
        <w:keepNext/>
        <w:keepLines/>
      </w:pPr>
      <w:r>
        <w:t>4.1. Normalización de respuestas</w:t>
      </w:r>
    </w:p>
    <w:p>
      <w:r>
        <w:t>Para cada pregunta incluida en el IGM:</w:t>
      </w:r>
    </w:p>
    <w:p>
      <w:pPr>
        <w:pStyle w:val="ListBullet"/>
        <w:keepLines w:val="1"/>
        <w:keepNext w:val="1"/>
        <w:widowControl w:val="1"/>
      </w:pPr>
      <w:r>
        <w:t xml:space="preserve">Calcular VALOR_NORMALIZADO = (RESPUESTA - VALOR_MIN) / (VALOR_MAX - VALOR_MIN).  </w:t>
      </w:r>
    </w:p>
    <w:p>
      <w:pPr>
        <w:pStyle w:val="ListBullet"/>
        <w:keepLines w:val="1"/>
        <w:widowControl w:val="1"/>
      </w:pPr>
      <w:r>
        <w:t>El resultado estará entre 0 y 1.</w:t>
      </w:r>
    </w:p>
    <w:p>
      <w:r>
        <w:t xml:space="preserve">En Excel, por ejemplo, si </w:t>
      </w:r>
      <w:r>
        <w:rPr>
          <w:rFonts w:ascii="Courier New" w:hAnsi="Courier New"/>
          <w:sz w:val="18"/>
        </w:rPr>
        <w:t>VALOR_MIN</w:t>
      </w:r>
      <w:r>
        <w:t xml:space="preserve"> está en </w:t>
      </w:r>
      <w:r>
        <w:rPr>
          <w:rFonts w:ascii="Courier New" w:hAnsi="Courier New"/>
          <w:sz w:val="18"/>
        </w:rPr>
        <w:t>Diccionario!E2</w:t>
      </w:r>
      <w:r>
        <w:t xml:space="preserve">, </w:t>
      </w:r>
      <w:r>
        <w:rPr>
          <w:rFonts w:ascii="Courier New" w:hAnsi="Courier New"/>
          <w:sz w:val="18"/>
        </w:rPr>
        <w:t>VALOR_MAX</w:t>
      </w:r>
      <w:r>
        <w:t xml:space="preserve"> en </w:t>
      </w:r>
      <w:r>
        <w:rPr>
          <w:rFonts w:ascii="Courier New" w:hAnsi="Courier New"/>
          <w:sz w:val="18"/>
        </w:rPr>
        <w:t>Diccionario!F2</w:t>
      </w:r>
      <w:r>
        <w:t xml:space="preserve">, y la respuesta de la organización en </w:t>
      </w:r>
      <w:r>
        <w:rPr>
          <w:rFonts w:ascii="Courier New" w:hAnsi="Courier New"/>
          <w:sz w:val="18"/>
        </w:rPr>
        <w:t>Respuestas!C2</w:t>
      </w:r>
      <w:r>
        <w:t>, la fórmula sería: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=(Respuestas!C2 - Diccionario!E2) / (Diccionario!F2 - Diccionario!E2)</w:t>
        <w:br/>
      </w:r>
    </w:p>
    <w:p>
      <w:pPr>
        <w:pStyle w:val="Heading4"/>
        <w:keepNext/>
        <w:keepLines/>
      </w:pPr>
      <w:r>
        <w:t>4.2. Cálculo de subíndices</w:t>
      </w:r>
    </w:p>
    <w:p>
      <w:r>
        <w:t>Para cada bloque (Gobierno, Riesgo, Operación, etc.):</w:t>
      </w:r>
    </w:p>
    <w:p>
      <w:pPr>
        <w:pStyle w:val="ListBullet"/>
        <w:keepLines w:val="1"/>
        <w:widowControl w:val="1"/>
      </w:pPr>
      <w:r>
        <w:t>SUBINDICE_BLOQUE = SUMA(VALOR_NORMALIZADO_i * PESO_SUBINDICE_i)</w:t>
        <w:br/>
        <w:t xml:space="preserve">  donde i recorre las preguntas de ese bloque.</w:t>
      </w:r>
    </w:p>
    <w:p>
      <w:r>
        <w:t xml:space="preserve">En Excel, puede hacerse con una combinación de </w:t>
      </w:r>
      <w:r>
        <w:rPr>
          <w:rFonts w:ascii="Courier New" w:hAnsi="Courier New"/>
          <w:sz w:val="18"/>
        </w:rPr>
        <w:t>SUMAPRODUCTO</w:t>
      </w:r>
      <w:r>
        <w:t xml:space="preserve"> filtrando por bloque o mediante columnas auxiliares.</w:t>
      </w:r>
    </w:p>
    <w:p>
      <w:pPr>
        <w:pStyle w:val="Heading4"/>
        <w:keepNext/>
        <w:keepLines/>
      </w:pPr>
      <w:r>
        <w:t>4.3. Cálculo del IGM (Índice Global de Madurez)</w:t>
      </w:r>
    </w:p>
    <w:p>
      <w:pPr>
        <w:pStyle w:val="ListBullet"/>
        <w:keepLines w:val="1"/>
        <w:widowControl w:val="1"/>
      </w:pPr>
      <w:r>
        <w:t xml:space="preserve">IGM = 100 * SUMA(VALOR_NORMALIZADO_i * PESO_IGM_i) </w:t>
      </w:r>
    </w:p>
    <w:p>
      <w:r>
        <w:t>Esto da un resultado entre 0 y 100. Se puede representar en:</w:t>
      </w:r>
    </w:p>
    <w:p>
      <w:pPr>
        <w:pStyle w:val="ListBullet"/>
        <w:keepLines w:val="1"/>
        <w:keepNext w:val="1"/>
        <w:widowControl w:val="1"/>
      </w:pPr>
      <w:r>
        <w:t xml:space="preserve">Escala cualitativa:  </w:t>
      </w:r>
    </w:p>
    <w:p>
      <w:pPr>
        <w:pStyle w:val="ListBullet"/>
        <w:keepLines w:val="1"/>
        <w:keepNext w:val="1"/>
        <w:widowControl w:val="1"/>
      </w:pPr>
      <w:r>
        <w:t xml:space="preserve">0–39: Nivel inicial  </w:t>
      </w:r>
    </w:p>
    <w:p>
      <w:pPr>
        <w:pStyle w:val="ListBullet"/>
        <w:keepLines w:val="1"/>
        <w:keepNext w:val="1"/>
        <w:widowControl w:val="1"/>
      </w:pPr>
      <w:r>
        <w:t xml:space="preserve">40–59: Nivel básico  </w:t>
      </w:r>
    </w:p>
    <w:p>
      <w:pPr>
        <w:pStyle w:val="ListBullet"/>
        <w:keepLines w:val="1"/>
        <w:keepNext w:val="1"/>
        <w:widowControl w:val="1"/>
      </w:pPr>
      <w:r>
        <w:t xml:space="preserve">60–79: Nivel intermedio  </w:t>
      </w:r>
    </w:p>
    <w:p>
      <w:pPr>
        <w:pStyle w:val="ListBullet"/>
        <w:keepLines w:val="1"/>
        <w:widowControl w:val="1"/>
      </w:pPr>
      <w:r>
        <w:t>80–100: Nivel avanzado</w:t>
      </w:r>
    </w:p>
    <w:p>
      <w:pPr>
        <w:pStyle w:val="Heading3"/>
        <w:keepNext/>
        <w:keepLines/>
      </w:pPr>
      <w:r>
        <w:t>5. Hoja ROI</w:t>
      </w:r>
    </w:p>
    <w:p>
      <w:r>
        <w:t>El cálculo de ROI se apoyará en:</w:t>
      </w:r>
    </w:p>
    <w:p>
      <w:pPr>
        <w:pStyle w:val="ListNumber"/>
        <w:keepLines w:val="1"/>
        <w:keepNext w:val="1"/>
        <w:widowControl w:val="1"/>
      </w:pPr>
      <w:r>
        <w:t xml:space="preserve">Costes de ciberseguridad (anuales) </w:t>
      </w:r>
    </w:p>
    <w:p>
      <w:pPr>
        <w:pStyle w:val="ListNumber"/>
        <w:keepLines w:val="1"/>
        <w:keepNext w:val="1"/>
        <w:widowControl w:val="1"/>
      </w:pPr>
      <w:r>
        <w:t xml:space="preserve">COSTE_CONTROLES – presupuesto en controles (MFA, SIEM, BCP, etc.).  </w:t>
      </w:r>
    </w:p>
    <w:p>
      <w:pPr>
        <w:pStyle w:val="ListNumber"/>
        <w:keepLines w:val="1"/>
        <w:keepNext w:val="1"/>
        <w:widowControl w:val="1"/>
      </w:pPr>
      <w:r>
        <w:t xml:space="preserve">COSTE_PERSONAL – salarios y cargas de personal de ciberseguridad.  </w:t>
      </w:r>
    </w:p>
    <w:p>
      <w:pPr>
        <w:pStyle w:val="ListNumber"/>
        <w:keepLines w:val="1"/>
        <w:keepNext w:val="1"/>
        <w:widowControl w:val="1"/>
      </w:pPr>
      <w:r>
        <w:br/>
        <w:t xml:space="preserve">COSTE_AUDITORIA – ENS, ISO, otros.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Costes de incidentes (anuales estimados) </w:t>
        <w:br/>
      </w:r>
    </w:p>
    <w:p>
      <w:pPr>
        <w:pStyle w:val="ListNumber"/>
        <w:keepLines w:val="1"/>
        <w:keepNext w:val="1"/>
        <w:widowControl w:val="1"/>
      </w:pPr>
      <w:r>
        <w:t xml:space="preserve">NUM_INCIDENTES – número de incidentes relevantes.  </w:t>
      </w:r>
    </w:p>
    <w:p>
      <w:pPr>
        <w:pStyle w:val="ListNumber"/>
        <w:keepLines w:val="1"/>
        <w:keepNext w:val="1"/>
        <w:widowControl w:val="1"/>
      </w:pPr>
      <w:r>
        <w:t xml:space="preserve">COSTE_MEDIO_INCIDENTE – coste estimado (parada, remedio, reputación).  </w:t>
      </w:r>
    </w:p>
    <w:p>
      <w:pPr>
        <w:pStyle w:val="ListNumber"/>
        <w:keepLines w:val="1"/>
        <w:keepNext w:val="1"/>
        <w:widowControl w:val="1"/>
      </w:pPr>
      <w:r>
        <w:br/>
        <w:t>COSTE_INCIDENTES = NUM_INCIDENTES * COSTE_MEDIO_INCIDENTE.</w:t>
        <w:br/>
      </w:r>
    </w:p>
    <w:p>
      <w:pPr>
        <w:pStyle w:val="ListNumber"/>
        <w:keepLines w:val="1"/>
        <w:widowControl w:val="1"/>
      </w:pPr>
      <w:r>
        <w:br/>
        <w:t>Escenarios de mejora</w:t>
        <w:br/>
      </w:r>
    </w:p>
    <w:p>
      <w:r>
        <w:rPr>
          <w:rFonts w:ascii="Courier New" w:hAnsi="Courier New"/>
          <w:sz w:val="18"/>
        </w:rPr>
        <w:t>COSTE_AUDITORIA</w:t>
      </w:r>
      <w:r>
        <w:t xml:space="preserve"> – ENS, ISO, otros.  </w:t>
      </w:r>
    </w:p>
    <w:p>
      <w:r>
        <w:rPr>
          <w:b/>
        </w:rPr>
        <w:t>Costes de incidentes (anuales estimados)</w:t>
      </w:r>
      <w:r>
        <w:t xml:space="preserve"> </w:t>
      </w:r>
    </w:p>
    <w:p>
      <w:r>
        <w:rPr>
          <w:rFonts w:ascii="Courier New" w:hAnsi="Courier New"/>
          <w:sz w:val="18"/>
        </w:rPr>
        <w:t>COSTE_INCIDENTES = NUM_INCIDENTES * COSTE_MEDIO_INCIDENTE</w:t>
      </w:r>
      <w:r>
        <w:t>.</w:t>
      </w:r>
    </w:p>
    <w:p>
      <w:r>
        <w:rPr>
          <w:b/>
        </w:rPr>
        <w:t>Escenarios de mejora</w:t>
      </w:r>
    </w:p>
    <w:p>
      <w:r>
        <w:t>Se puede definir:</w:t>
      </w:r>
    </w:p>
    <w:p>
      <w:pPr>
        <w:pStyle w:val="ListBullet"/>
        <w:keepLines w:val="1"/>
        <w:keepNext w:val="1"/>
        <w:widowControl w:val="1"/>
      </w:pPr>
      <w:r>
        <w:t xml:space="preserve">IGM_ACTUAL – a partir de la hoja IGM.  </w:t>
      </w:r>
    </w:p>
    <w:p>
      <w:pPr>
        <w:pStyle w:val="ListBullet"/>
        <w:keepLines w:val="1"/>
        <w:keepNext w:val="1"/>
        <w:widowControl w:val="1"/>
      </w:pPr>
      <w:r>
        <w:t xml:space="preserve">IGM_OBJETIVO – objetivo a 2–3 años.  </w:t>
      </w:r>
    </w:p>
    <w:p>
      <w:pPr>
        <w:pStyle w:val="ListBullet"/>
        <w:keepLines w:val="1"/>
        <w:widowControl w:val="1"/>
      </w:pPr>
      <w:r>
        <w:t>Supuesto: un incremento de IGM (por ejemplo, +10 puntos) se asocia a una reducción porcentual de COSTE_INCIDENTES (por ejemplo, 20–30 %, a definir según sector y experiencia).</w:t>
      </w:r>
    </w:p>
    <w:p>
      <w:r>
        <w:t>Fórmulas posibles:</w:t>
      </w:r>
    </w:p>
    <w:p>
      <w:pPr>
        <w:pStyle w:val="ListBullet"/>
        <w:keepLines w:val="1"/>
        <w:keepNext w:val="1"/>
        <w:widowControl w:val="1"/>
      </w:pPr>
      <w:r>
        <w:t xml:space="preserve">COSTE_INCIDENTES_ACTUAL </w:t>
      </w:r>
    </w:p>
    <w:p>
      <w:pPr>
        <w:pStyle w:val="ListBullet"/>
        <w:keepLines w:val="1"/>
        <w:keepNext w:val="1"/>
        <w:widowControl w:val="1"/>
      </w:pPr>
      <w:r>
        <w:br/>
        <w:t xml:space="preserve">COSTE_INCIDENTES_FUTURO = COSTE_INCIDENTES_ACTUAL * (1 - REDUCCION_POR_IGM)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INVERSION_MEJORA = COSTE_ADICIONAL_CONTROLES + COSTE_ADICIONAL_PERSONAL.  </w:t>
        <w:br/>
      </w:r>
    </w:p>
    <w:p>
      <w:pPr>
        <w:pStyle w:val="ListBullet"/>
        <w:keepLines w:val="1"/>
        <w:keepNext w:val="1"/>
        <w:widowControl w:val="1"/>
      </w:pPr>
      <w:r>
        <w:br/>
        <w:t>AHORRO_ESPERADO = COSTE_INCIDENTES_ACTUAL - COSTE_INCIDENTES_FUTURO.</w:t>
        <w:br/>
      </w:r>
    </w:p>
    <w:p>
      <w:pPr>
        <w:pStyle w:val="ListBullet"/>
        <w:keepLines w:val="1"/>
        <w:widowControl w:val="1"/>
      </w:pPr>
      <w:r>
        <w:br/>
        <w:t>ROI = (AHORRO_ESPERADO - INVERSION_MEJORA) / INVERSION_MEJORA.</w:t>
        <w:br/>
      </w:r>
    </w:p>
    <w:p>
      <w:r>
        <w:rPr>
          <w:rFonts w:ascii="Courier New" w:hAnsi="Courier New"/>
          <w:sz w:val="18"/>
        </w:rPr>
        <w:t>COSTE_INCIDENTES_FUTURO = COSTE_INCIDENTES_ACTUAL * (1 - REDUCCION_POR_IGM)</w:t>
      </w:r>
      <w:r>
        <w:t xml:space="preserve"> </w:t>
      </w:r>
    </w:p>
    <w:p>
      <w:r>
        <w:rPr>
          <w:rFonts w:ascii="Courier New" w:hAnsi="Courier New"/>
          <w:sz w:val="18"/>
        </w:rPr>
        <w:t>INVERSION_MEJORA = COSTE_ADICIONAL_CONTROLES + COSTE_ADICIONAL_PERSONAL</w:t>
      </w:r>
      <w:r>
        <w:t xml:space="preserve">.  </w:t>
      </w:r>
    </w:p>
    <w:p>
      <w:r>
        <w:rPr>
          <w:rFonts w:ascii="Courier New" w:hAnsi="Courier New"/>
          <w:sz w:val="18"/>
        </w:rPr>
        <w:t>AHORRO_ESPERADO = COSTE_INCIDENTES_ACTUAL - COSTE_INCIDENTES_FUTURO</w:t>
      </w:r>
      <w:r>
        <w:t>.</w:t>
      </w:r>
    </w:p>
    <w:p>
      <w:r>
        <w:rPr>
          <w:rFonts w:ascii="Courier New" w:hAnsi="Courier New"/>
          <w:sz w:val="18"/>
        </w:rPr>
        <w:t>ROI = (AHORRO_ESPERADO - INVERSION_MEJORA) / INVERSION_MEJORA</w:t>
      </w:r>
      <w:r>
        <w:t>.</w:t>
      </w:r>
    </w:p>
    <w:p>
      <w:r>
        <w:t xml:space="preserve">La plantilla puede parametrizar </w:t>
      </w:r>
      <w:r>
        <w:rPr>
          <w:rFonts w:ascii="Courier New" w:hAnsi="Courier New"/>
          <w:sz w:val="18"/>
        </w:rPr>
        <w:t>REDUCCION_POR_IGM</w:t>
      </w:r>
      <w:r>
        <w:t xml:space="preserve"> (por ejemplo, 0,2; 0,3), y analizar escenarios optimista, conservador y pesimista.</w:t>
      </w:r>
    </w:p>
    <w:p>
      <w:pPr>
        <w:pStyle w:val="Heading3"/>
        <w:keepNext/>
        <w:keepLines/>
      </w:pPr>
      <w:r>
        <w:t>6. Hoja Resumen</w:t>
      </w:r>
    </w:p>
    <w:p>
      <w:r>
        <w:t>Incluir, al menos:</w:t>
      </w:r>
    </w:p>
    <w:p>
      <w:pPr>
        <w:pStyle w:val="ListBullet"/>
        <w:keepLines w:val="1"/>
        <w:keepNext w:val="1"/>
        <w:widowControl w:val="1"/>
      </w:pPr>
      <w:r>
        <w:t xml:space="preserve">Tabla con IGM por organización, tipo de entidad y sector.  </w:t>
      </w:r>
    </w:p>
    <w:p>
      <w:pPr>
        <w:pStyle w:val="ListBullet"/>
        <w:keepLines w:val="1"/>
        <w:keepNext w:val="1"/>
        <w:widowControl w:val="1"/>
      </w:pPr>
      <w:r>
        <w:t xml:space="preserve">Gráficos de barras o radar por subíndices (Gobierno, Riesgo, Operación, Recursos, Cultura, Métricas).  </w:t>
      </w:r>
    </w:p>
    <w:p>
      <w:pPr>
        <w:pStyle w:val="ListBullet"/>
        <w:keepLines w:val="1"/>
        <w:keepNext w:val="1"/>
        <w:widowControl w:val="1"/>
      </w:pPr>
      <w:r>
        <w:t xml:space="preserve">Tabla con ROI estimado por escenario de inversión.  </w:t>
      </w:r>
    </w:p>
    <w:p>
      <w:pPr>
        <w:pStyle w:val="ListBullet"/>
        <w:keepLines w:val="1"/>
        <w:widowControl w:val="1"/>
      </w:pPr>
      <w:r>
        <w:t>Indicadores de dispersión (mínimo, máximo, mediana, cuartiles).</w:t>
      </w:r>
    </w:p>
    <w:p>
      <w:pPr>
        <w:pStyle w:val="Heading3"/>
        <w:keepNext/>
        <w:keepLines/>
      </w:pPr>
      <w:r>
        <w:t>7. Notas metodológicas</w:t>
      </w:r>
    </w:p>
    <w:p>
      <w:pPr>
        <w:pStyle w:val="ListBullet"/>
        <w:keepLines w:val="1"/>
        <w:keepNext w:val="1"/>
        <w:widowControl w:val="1"/>
      </w:pPr>
      <w:r>
        <w:t xml:space="preserve">Es importante documentar, en la propia hoja, las hipótesis utilizadas para el cálculo de ROI (porcentajes de reducción de incidentes, costes medios, etc.).  </w:t>
      </w:r>
    </w:p>
    <w:p>
      <w:pPr>
        <w:pStyle w:val="ListBullet"/>
        <w:keepLines w:val="1"/>
        <w:keepNext w:val="1"/>
        <w:widowControl w:val="1"/>
      </w:pPr>
      <w:r>
        <w:t xml:space="preserve">Para análisis nacionales o sectoriales, se recomienda trabajar con datos anonimizados y agrupar por categoría (administración central, autonómica, local, proveedores, etc.).  </w:t>
      </w:r>
    </w:p>
    <w:p>
      <w:pPr>
        <w:pStyle w:val="ListBullet"/>
        <w:keepLines w:val="1"/>
        <w:widowControl w:val="1"/>
      </w:pPr>
      <w:r>
        <w:t>El IGM no sustituye las métricas ENS oficiales, pero ofrece una visión sintética útil para diálogo estratégico y benchmarking.</w:t>
      </w:r>
    </w:p>
    <w:p>
      <w:r>
        <w:t>Con esta plantilla, la encuesta AMPARO–ENS se convierte en algo más que un conjunto de respuestas: en un instrumento cuantitativo para hablar de madurez, riesgo y dinero con un mínimo de rigor y un máximo de claridad.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