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(Formato Presentación)</w:t>
      </w:r>
    </w:p>
    <w:p>
      <w:pPr>
        <w:pStyle w:val="Heading2"/>
        <w:keepNext/>
        <w:keepLines/>
      </w:pPr>
      <w:r>
        <w:rPr>
          <w:color w:val="0066CC"/>
        </w:rPr>
        <w:t>Resultados de la Encuesta AMPARO–ENS</w:t>
      </w:r>
    </w:p>
    <w:p>
      <w:r>
        <w:t>Esta plantilla está pensada para ser trasladada a una presentación (PowerPoint, Keynote, etc.). Cada sección corresponde a 1–2 diapositivas recomendadas.</w:t>
      </w:r>
    </w:p>
    <w:p>
      <w:pPr>
        <w:pStyle w:val="Heading2"/>
        <w:keepNext/>
        <w:keepLines/>
      </w:pPr>
      <w:r>
        <w:rPr>
          <w:color w:val="0066CC"/>
        </w:rPr>
        <w:t>1. Portada</w:t>
      </w:r>
    </w:p>
    <w:p>
      <w:r>
        <w:rPr>
          <w:b/>
        </w:rPr>
        <w:t>Título:</w:t>
      </w:r>
      <w:r/>
      <w:r>
        <w:br/>
        <w:t>“Diagnóstico de Ciberseguridad y Madurez ENS – [Nombre de la organización / Grupo de organizaciones]”</w:t>
      </w:r>
    </w:p>
    <w:p>
      <w:r>
        <w:rPr>
          <w:b/>
        </w:rPr>
        <w:t>Subtítulo:</w:t>
      </w:r>
      <w:r/>
      <w:r>
        <w:br/>
        <w:t>“Basado en la Encuesta AMPARO–ENS y en las guías CCN‑STIC‑815 y 824”</w:t>
      </w:r>
    </w:p>
    <w:p>
      <w:r>
        <w:rPr>
          <w:b/>
        </w:rPr>
        <w:t>Elementos adicionales:</w:t>
      </w:r>
      <w:r/>
      <w:r>
        <w:br/>
        <w:t>- Fecha</w:t>
      </w:r>
      <w:r/>
      <w:r>
        <w:br/>
        <w:t>- Logotipos relevantes</w:t>
      </w:r>
      <w:r/>
      <w:r>
        <w:br/>
        <w:t>- Nombre del responsable del informe</w:t>
      </w:r>
    </w:p>
    <w:p>
      <w:pPr>
        <w:pStyle w:val="Heading2"/>
        <w:keepNext/>
        <w:keepLines/>
      </w:pPr>
      <w:r>
        <w:rPr>
          <w:color w:val="0066CC"/>
        </w:rPr>
        <w:t>2. Índice de la presentación</w:t>
      </w:r>
    </w:p>
    <w:p>
      <w:pPr>
        <w:pStyle w:val="ListNumber"/>
        <w:keepLines w:val="1"/>
        <w:keepNext w:val="1"/>
        <w:widowControl w:val="1"/>
      </w:pPr>
      <w:r>
        <w:t xml:space="preserve">Contexto y objetivos  </w:t>
      </w:r>
    </w:p>
    <w:p>
      <w:pPr>
        <w:pStyle w:val="ListNumber"/>
        <w:keepLines w:val="1"/>
        <w:keepNext w:val="1"/>
        <w:widowControl w:val="1"/>
      </w:pPr>
      <w:r>
        <w:t xml:space="preserve">Metodología y alcance  </w:t>
      </w:r>
    </w:p>
    <w:p>
      <w:pPr>
        <w:pStyle w:val="ListNumber"/>
        <w:keepLines w:val="1"/>
        <w:keepNext w:val="1"/>
        <w:widowControl w:val="1"/>
      </w:pPr>
      <w:r>
        <w:t xml:space="preserve">Resultados de madurez ENS (IGM y subíndices)  </w:t>
      </w:r>
    </w:p>
    <w:p>
      <w:pPr>
        <w:pStyle w:val="ListNumber"/>
        <w:keepLines w:val="1"/>
        <w:keepNext w:val="1"/>
        <w:widowControl w:val="1"/>
      </w:pPr>
      <w:r>
        <w:t xml:space="preserve">Principales brechas y riesgos  </w:t>
      </w:r>
    </w:p>
    <w:p>
      <w:pPr>
        <w:pStyle w:val="ListNumber"/>
        <w:keepLines w:val="1"/>
        <w:keepNext w:val="1"/>
        <w:widowControl w:val="1"/>
      </w:pPr>
      <w:r>
        <w:t xml:space="preserve">Oportunidades y ROI de inversión  </w:t>
      </w:r>
    </w:p>
    <w:p>
      <w:pPr>
        <w:pStyle w:val="ListNumber"/>
        <w:keepLines w:val="1"/>
        <w:keepNext w:val="1"/>
        <w:widowControl w:val="1"/>
      </w:pPr>
      <w:r>
        <w:t xml:space="preserve">Recomendaciones priorizadas  </w:t>
      </w:r>
    </w:p>
    <w:p>
      <w:pPr>
        <w:pStyle w:val="ListNumber"/>
        <w:keepLines w:val="1"/>
        <w:widowControl w:val="1"/>
      </w:pPr>
      <w:r>
        <w:t>Próximos pasos</w:t>
      </w:r>
    </w:p>
    <w:p>
      <w:pPr>
        <w:pStyle w:val="Heading2"/>
        <w:keepNext/>
        <w:keepLines/>
      </w:pPr>
      <w:r>
        <w:rPr>
          <w:color w:val="0066CC"/>
        </w:rPr>
        <w:t>3. Contexto y objetivos</w:t>
      </w:r>
    </w:p>
    <w:p>
      <w:r>
        <w:rPr>
          <w:b/>
        </w:rPr>
        <w:t>Diapositiva: “Por qué estamos aquí”</w:t>
      </w:r>
    </w:p>
    <w:p>
      <w:pPr>
        <w:pStyle w:val="ListBullet"/>
        <w:keepLines w:val="1"/>
        <w:keepNext w:val="1"/>
        <w:widowControl w:val="1"/>
      </w:pPr>
      <w:r>
        <w:t xml:space="preserve">ENS como marco obligatorio/referencial para la organización. [web:30][web:3]  </w:t>
      </w:r>
    </w:p>
    <w:p>
      <w:pPr>
        <w:pStyle w:val="ListBullet"/>
        <w:keepLines w:val="1"/>
        <w:keepNext w:val="1"/>
        <w:widowControl w:val="1"/>
      </w:pPr>
      <w:r>
        <w:t xml:space="preserve">Necesidad de evaluar el estado de seguridad de forma estructurada (CCN‑STIC‑815, 824). [web:32][web:33]  </w:t>
      </w:r>
    </w:p>
    <w:p>
      <w:pPr>
        <w:pStyle w:val="ListBullet"/>
        <w:keepLines w:val="1"/>
        <w:widowControl w:val="1"/>
      </w:pPr>
      <w:r>
        <w:t>Objetivo: obtener una visión clara de la madurez actual, compararla (cuando proceda) y priorizar decisiones de mejora.</w:t>
      </w:r>
    </w:p>
    <w:p>
      <w:r>
        <w:rPr>
          <w:b/>
        </w:rPr>
        <w:t>Mensaje clave:</w:t>
      </w:r>
      <w:r/>
      <w:r>
        <w:br/>
        <w:t>No se trata de buscar culpables, sino de identificar dónde estamos y qué necesitamos para seguir prestando servicios de forma segura y resiliente.</w:t>
      </w:r>
    </w:p>
    <w:p>
      <w:pPr>
        <w:pStyle w:val="Heading2"/>
        <w:keepNext/>
        <w:keepLines/>
      </w:pPr>
      <w:r>
        <w:rPr>
          <w:color w:val="0066CC"/>
        </w:rPr>
        <w:t>4. Metodología y alcance</w:t>
      </w:r>
    </w:p>
    <w:p>
      <w:r>
        <w:rPr>
          <w:b/>
        </w:rPr>
        <w:t>Diapositiva: “Cómo se ha realizado el diagnóstico”</w:t>
      </w:r>
    </w:p>
    <w:p>
      <w:pPr>
        <w:pStyle w:val="ListBullet"/>
        <w:keepLines w:val="1"/>
        <w:keepNext w:val="1"/>
        <w:widowControl w:val="1"/>
      </w:pPr>
      <w:r>
        <w:t xml:space="preserve">Breve descripción de la encuesta AMPARO–ENS y sus bloques.  </w:t>
      </w:r>
    </w:p>
    <w:p>
      <w:pPr>
        <w:pStyle w:val="ListBullet"/>
        <w:keepLines w:val="1"/>
        <w:keepNext w:val="1"/>
        <w:widowControl w:val="1"/>
      </w:pPr>
      <w:r>
        <w:t xml:space="preserve">Número de encuestados / unidades participantes.  </w:t>
      </w:r>
    </w:p>
    <w:p>
      <w:pPr>
        <w:pStyle w:val="ListBullet"/>
        <w:keepLines w:val="1"/>
        <w:keepNext w:val="1"/>
        <w:widowControl w:val="1"/>
      </w:pPr>
      <w:r>
        <w:t xml:space="preserve">Periodo de recogida de datos.  </w:t>
      </w:r>
    </w:p>
    <w:p>
      <w:pPr>
        <w:pStyle w:val="ListBullet"/>
        <w:keepLines w:val="1"/>
        <w:widowControl w:val="1"/>
      </w:pPr>
      <w:r>
        <w:t>Mención a la transformación de respuestas en indicadores y en el IGM. [web:32][web:33][web:21]</w:t>
      </w:r>
    </w:p>
    <w:p>
      <w:r>
        <w:rPr>
          <w:b/>
        </w:rPr>
        <w:t>Elemento gráfico:</w:t>
      </w:r>
      <w:r/>
      <w:r>
        <w:br/>
        <w:t>Esquema simple:</w:t>
      </w:r>
      <w:r/>
      <w:r>
        <w:br/>
        <w:t>Encuesta → Datos → Métricas → Indicadores → IGM / ROI → Decisiones.</w:t>
      </w:r>
    </w:p>
    <w:p>
      <w:pPr>
        <w:pStyle w:val="Heading2"/>
        <w:keepNext/>
        <w:keepLines/>
      </w:pPr>
      <w:r>
        <w:rPr>
          <w:color w:val="0066CC"/>
        </w:rPr>
        <w:t>5. Resultados de madurez ENS</w:t>
      </w:r>
    </w:p>
    <w:p>
      <w:r>
        <w:rPr>
          <w:b/>
        </w:rPr>
        <w:t>Diapositiva: “Índice Global de Madurez (IGM)”</w:t>
      </w:r>
    </w:p>
    <w:p>
      <w:pPr>
        <w:pStyle w:val="ListBullet"/>
        <w:keepLines w:val="1"/>
        <w:keepNext w:val="1"/>
        <w:widowControl w:val="1"/>
      </w:pPr>
      <w:r>
        <w:t xml:space="preserve">Gráfico de barra o velocímetro con el IGM global (0–100).  </w:t>
      </w:r>
    </w:p>
    <w:p>
      <w:pPr>
        <w:pStyle w:val="ListBullet"/>
        <w:keepLines w:val="1"/>
        <w:widowControl w:val="1"/>
      </w:pPr>
      <w:r>
        <w:t xml:space="preserve">Clasificación cualitativa (Inicial / Básico / Intermedio / Avanzado).  </w:t>
      </w:r>
    </w:p>
    <w:p>
      <w:r>
        <w:rPr>
          <w:b/>
        </w:rPr>
        <w:t>Diapositiva: “Subíndices por bloque”</w:t>
      </w:r>
    </w:p>
    <w:p>
      <w:pPr>
        <w:pStyle w:val="ListBullet"/>
        <w:keepLines w:val="1"/>
        <w:keepNext w:val="1"/>
        <w:widowControl w:val="1"/>
      </w:pPr>
      <w:r>
        <w:t xml:space="preserve">Gráfico radar o barras con subíndices:  </w:t>
      </w:r>
    </w:p>
    <w:p>
      <w:pPr>
        <w:pStyle w:val="ListBullet"/>
        <w:keepLines w:val="1"/>
        <w:keepNext w:val="1"/>
        <w:widowControl w:val="1"/>
      </w:pPr>
      <w:r>
        <w:t xml:space="preserve">Gobierno y cumplimiento  </w:t>
      </w:r>
    </w:p>
    <w:p>
      <w:pPr>
        <w:pStyle w:val="ListBullet"/>
        <w:keepLines w:val="1"/>
        <w:keepNext w:val="1"/>
        <w:widowControl w:val="1"/>
      </w:pPr>
      <w:r>
        <w:t xml:space="preserve">Riesgo y Zero Trust  </w:t>
      </w:r>
    </w:p>
    <w:p>
      <w:pPr>
        <w:pStyle w:val="ListBullet"/>
        <w:keepLines w:val="1"/>
        <w:keepNext w:val="1"/>
        <w:widowControl w:val="1"/>
      </w:pPr>
      <w:r>
        <w:t xml:space="preserve">Operación e incidentes  </w:t>
      </w:r>
    </w:p>
    <w:p>
      <w:pPr>
        <w:pStyle w:val="ListBullet"/>
        <w:keepLines w:val="1"/>
        <w:keepNext w:val="1"/>
        <w:widowControl w:val="1"/>
      </w:pPr>
      <w:r>
        <w:t xml:space="preserve">Ciberresiliencia  </w:t>
      </w:r>
    </w:p>
    <w:p>
      <w:pPr>
        <w:pStyle w:val="ListBullet"/>
        <w:keepLines w:val="1"/>
        <w:keepNext w:val="1"/>
        <w:widowControl w:val="1"/>
      </w:pPr>
      <w:r>
        <w:t xml:space="preserve">Recursos y cultura  </w:t>
      </w:r>
    </w:p>
    <w:p>
      <w:pPr>
        <w:pStyle w:val="ListBullet"/>
        <w:keepLines w:val="1"/>
        <w:widowControl w:val="1"/>
      </w:pPr>
      <w:r>
        <w:t>Métricas y cuadros de mando</w:t>
      </w:r>
    </w:p>
    <w:p>
      <w:r>
        <w:rPr>
          <w:b/>
        </w:rPr>
        <w:t>Mensaje clave:</w:t>
      </w:r>
      <w:r/>
      <w:r>
        <w:br/>
        <w:t>Señalar 2–3 ideas, por ejemplo: “Gobierno razonable, operación frágil, métricas incipientes”.</w:t>
      </w:r>
    </w:p>
    <w:p>
      <w:pPr>
        <w:pStyle w:val="Heading2"/>
        <w:keepNext/>
        <w:keepLines/>
      </w:pPr>
      <w:r>
        <w:rPr>
          <w:color w:val="0066CC"/>
        </w:rPr>
        <w:t>6. Principales brechas y riesgos</w:t>
      </w:r>
    </w:p>
    <w:p>
      <w:r>
        <w:rPr>
          <w:b/>
        </w:rPr>
        <w:t>Diapositiva: “Brechas ENS identificadas”</w:t>
      </w:r>
    </w:p>
    <w:p>
      <w:r>
        <w:t>Tabla o lista sintética con:</w:t>
      </w:r>
    </w:p>
    <w:p>
      <w:pPr>
        <w:pStyle w:val="ListBullet"/>
        <w:keepLines w:val="1"/>
        <w:keepNext w:val="1"/>
        <w:widowControl w:val="1"/>
      </w:pPr>
      <w:r>
        <w:t xml:space="preserve">Medidas ENS no implantadas o débiles (políticas, DA, categorización, etc.). [web:32][web:33][web:35]  </w:t>
      </w:r>
    </w:p>
    <w:p>
      <w:pPr>
        <w:pStyle w:val="ListBullet"/>
        <w:keepLines w:val="1"/>
        <w:keepNext w:val="1"/>
        <w:widowControl w:val="1"/>
      </w:pPr>
      <w:r>
        <w:t xml:space="preserve">Insuficiente uso de INES/AMPARO en la gobernanza. [web:21][web:39]  </w:t>
      </w:r>
    </w:p>
    <w:p>
      <w:pPr>
        <w:pStyle w:val="ListBullet"/>
        <w:keepLines w:val="1"/>
        <w:widowControl w:val="1"/>
      </w:pPr>
      <w:r>
        <w:t>Falta de formalización de análisis de riesgos y de apetito de riesgo. [web:38]</w:t>
      </w:r>
    </w:p>
    <w:p>
      <w:r>
        <w:rPr>
          <w:b/>
        </w:rPr>
        <w:t>Diapositiva: “Riesgos operativos y de resiliencia”</w:t>
      </w:r>
    </w:p>
    <w:p>
      <w:pPr>
        <w:pStyle w:val="ListBullet"/>
        <w:keepLines w:val="1"/>
        <w:keepNext w:val="1"/>
        <w:widowControl w:val="1"/>
      </w:pPr>
      <w:r>
        <w:t xml:space="preserve">Debilidades en gestión de incidentes, monitorización, SOC. [web:25]  </w:t>
      </w:r>
    </w:p>
    <w:p>
      <w:pPr>
        <w:pStyle w:val="ListBullet"/>
        <w:keepLines w:val="1"/>
        <w:keepNext w:val="1"/>
        <w:widowControl w:val="1"/>
      </w:pPr>
      <w:r>
        <w:t xml:space="preserve">Limitaciones en BCP/DRP y pruebas de continuidad.  </w:t>
      </w:r>
    </w:p>
    <w:p>
      <w:pPr>
        <w:pStyle w:val="ListBullet"/>
        <w:keepLines w:val="1"/>
        <w:widowControl w:val="1"/>
      </w:pPr>
      <w:r>
        <w:t>Ciberresiliencia vista más como deseo que como práctica.</w:t>
      </w:r>
    </w:p>
    <w:p>
      <w:pPr>
        <w:pStyle w:val="Heading2"/>
        <w:keepNext/>
        <w:keepLines/>
      </w:pPr>
      <w:r>
        <w:rPr>
          <w:color w:val="0066CC"/>
        </w:rPr>
        <w:t>7. Oportunidades y ROI de inversión</w:t>
      </w:r>
    </w:p>
    <w:p>
      <w:r>
        <w:rPr>
          <w:b/>
        </w:rPr>
        <w:t>Diapositiva: “Dónde invertir primero”</w:t>
      </w:r>
    </w:p>
    <w:p>
      <w:pPr>
        <w:pStyle w:val="ListBullet"/>
        <w:keepLines w:val="1"/>
        <w:keepNext w:val="1"/>
        <w:widowControl w:val="1"/>
      </w:pPr>
      <w:r>
        <w:t xml:space="preserve">3–5 áreas de inversión prioritaria (MFA, SIEM/SOC, continuidad, formación, etc.).  </w:t>
      </w:r>
    </w:p>
    <w:p>
      <w:pPr>
        <w:pStyle w:val="ListBullet"/>
        <w:keepLines w:val="1"/>
        <w:keepNext w:val="1"/>
        <w:widowControl w:val="1"/>
      </w:pPr>
      <w:r>
        <w:t xml:space="preserve">Cada área vinculada a:  </w:t>
      </w:r>
    </w:p>
    <w:p>
      <w:pPr>
        <w:pStyle w:val="ListBullet"/>
        <w:keepLines w:val="1"/>
        <w:keepNext w:val="1"/>
        <w:widowControl w:val="1"/>
      </w:pPr>
      <w:r>
        <w:t xml:space="preserve">Riesgos mitigados.  </w:t>
      </w:r>
    </w:p>
    <w:p>
      <w:pPr>
        <w:pStyle w:val="ListBullet"/>
        <w:keepLines w:val="1"/>
        <w:widowControl w:val="1"/>
      </w:pPr>
      <w:r>
        <w:t xml:space="preserve">Indicadores mejorados (ej., subíndice de operación, IGM).  </w:t>
      </w:r>
    </w:p>
    <w:p>
      <w:r>
        <w:rPr>
          <w:b/>
        </w:rPr>
        <w:t>Diapositiva: “ROI de ciberseguridad: resumen”</w:t>
      </w:r>
    </w:p>
    <w:p>
      <w:pPr>
        <w:pStyle w:val="ListBullet"/>
        <w:keepLines w:val="1"/>
        <w:keepNext w:val="1"/>
        <w:widowControl w:val="1"/>
      </w:pPr>
      <w:r>
        <w:t xml:space="preserve">Tabla simple con:  </w:t>
      </w:r>
    </w:p>
    <w:p>
      <w:pPr>
        <w:pStyle w:val="ListBullet"/>
        <w:keepLines w:val="1"/>
        <w:keepNext w:val="1"/>
        <w:widowControl w:val="1"/>
      </w:pPr>
      <w:r>
        <w:t xml:space="preserve">Escenario Actual vs Escenario Mejorado.  </w:t>
      </w:r>
    </w:p>
    <w:p>
      <w:pPr>
        <w:pStyle w:val="ListBullet"/>
        <w:keepLines w:val="1"/>
        <w:keepNext w:val="1"/>
        <w:widowControl w:val="1"/>
      </w:pPr>
      <w:r>
        <w:t xml:space="preserve">Coste de incidentes estimado.  </w:t>
      </w:r>
    </w:p>
    <w:p>
      <w:pPr>
        <w:pStyle w:val="ListBullet"/>
        <w:keepLines w:val="1"/>
        <w:keepNext w:val="1"/>
        <w:widowControl w:val="1"/>
      </w:pPr>
      <w:r>
        <w:t xml:space="preserve">Inversión necesaria.  </w:t>
      </w:r>
    </w:p>
    <w:p>
      <w:pPr>
        <w:pStyle w:val="ListBullet"/>
        <w:keepLines w:val="1"/>
        <w:keepNext w:val="1"/>
        <w:widowControl w:val="1"/>
      </w:pPr>
      <w:r>
        <w:t xml:space="preserve">Ahorro esperado.  </w:t>
      </w:r>
    </w:p>
    <w:p>
      <w:pPr>
        <w:pStyle w:val="ListBullet"/>
        <w:keepLines w:val="1"/>
        <w:widowControl w:val="1"/>
      </w:pPr>
      <w:r>
        <w:t>Resumen visual: gráfico que muestre la relación inversión / pérdida evitada.</w:t>
      </w:r>
    </w:p>
    <w:p>
      <w:pPr>
        <w:pStyle w:val="Heading2"/>
        <w:keepNext/>
        <w:keepLines/>
      </w:pPr>
      <w:r>
        <w:rPr>
          <w:color w:val="0066CC"/>
        </w:rPr>
        <w:t>8. Recomendaciones priorizadas</w:t>
      </w:r>
    </w:p>
    <w:p>
      <w:r>
        <w:rPr>
          <w:b/>
        </w:rPr>
        <w:t>Diapositiva: “Plan de acción a 12–24 meses”</w:t>
      </w:r>
    </w:p>
    <w:p>
      <w:r>
        <w:t>Tabla recomendada:</w:t>
      </w:r>
    </w:p>
    <w:p>
      <w:pPr>
        <w:pStyle w:val="ListBullet"/>
        <w:keepLines w:val="1"/>
        <w:keepNext w:val="1"/>
        <w:widowControl w:val="1"/>
      </w:pPr>
      <w:r>
        <w:t xml:space="preserve">Columna 1: Línea de acción (ej. “Formalizar DA y categorizar sistemas ENS”).  </w:t>
      </w:r>
    </w:p>
    <w:p>
      <w:pPr>
        <w:pStyle w:val="ListBullet"/>
        <w:keepLines w:val="1"/>
        <w:keepNext w:val="1"/>
        <w:widowControl w:val="1"/>
      </w:pPr>
      <w:r>
        <w:t xml:space="preserve">Columna 2: Horizonte (corto, medio, largo).  </w:t>
      </w:r>
    </w:p>
    <w:p>
      <w:pPr>
        <w:pStyle w:val="ListBullet"/>
        <w:keepLines w:val="1"/>
        <w:keepNext w:val="1"/>
        <w:widowControl w:val="1"/>
      </w:pPr>
      <w:r>
        <w:t xml:space="preserve">Columna 3: Responsable.  </w:t>
      </w:r>
    </w:p>
    <w:p>
      <w:pPr>
        <w:pStyle w:val="ListBullet"/>
        <w:keepLines w:val="1"/>
        <w:keepNext w:val="1"/>
        <w:widowControl w:val="1"/>
      </w:pPr>
      <w:r>
        <w:t xml:space="preserve">Columna 4: Indicador asociado (preguntas de la encuesta / subíndice).  </w:t>
      </w:r>
    </w:p>
    <w:p>
      <w:pPr>
        <w:pStyle w:val="ListBullet"/>
        <w:keepLines w:val="1"/>
        <w:widowControl w:val="1"/>
      </w:pPr>
      <w:r>
        <w:t>Columna 5: Observaciones.</w:t>
      </w:r>
    </w:p>
    <w:p>
      <w:r>
        <w:t>Se recomienda no exceder 8–10 acciones clave para mantener foco.</w:t>
      </w:r>
    </w:p>
    <w:p>
      <w:pPr>
        <w:pStyle w:val="Heading2"/>
        <w:keepNext/>
        <w:keepLines/>
      </w:pPr>
      <w:r>
        <w:rPr>
          <w:color w:val="0066CC"/>
        </w:rPr>
        <w:t>9. Próximos pasos</w:t>
      </w:r>
    </w:p>
    <w:p>
      <w:r>
        <w:rPr>
          <w:b/>
        </w:rPr>
        <w:t>Diapositiva: “Y ahora, ¿qué?”</w:t>
      </w:r>
    </w:p>
    <w:p>
      <w:pPr>
        <w:pStyle w:val="ListBullet"/>
        <w:keepLines w:val="1"/>
        <w:keepNext w:val="1"/>
        <w:widowControl w:val="1"/>
      </w:pPr>
      <w:r>
        <w:t xml:space="preserve">Aprobación del plan de acción por el órgano de gobierno competente.  </w:t>
      </w:r>
    </w:p>
    <w:p>
      <w:pPr>
        <w:pStyle w:val="ListBullet"/>
        <w:keepLines w:val="1"/>
        <w:keepNext w:val="1"/>
        <w:widowControl w:val="1"/>
      </w:pPr>
      <w:r>
        <w:t xml:space="preserve">Integración de indicadores en los cuadros de mando de dirección.  </w:t>
      </w:r>
    </w:p>
    <w:p>
      <w:pPr>
        <w:pStyle w:val="ListBullet"/>
        <w:keepLines w:val="1"/>
        <w:keepNext w:val="1"/>
        <w:widowControl w:val="1"/>
      </w:pPr>
      <w:r>
        <w:t xml:space="preserve">Repetición de la encuesta en 12–24 meses para medir progreso.  </w:t>
      </w:r>
    </w:p>
    <w:p>
      <w:pPr>
        <w:pStyle w:val="ListBullet"/>
        <w:keepLines w:val="1"/>
        <w:widowControl w:val="1"/>
      </w:pPr>
      <w:r>
        <w:t>Ajuste de la planificación en función de la evolución normativa y del contexto de amenazas.</w:t>
      </w:r>
    </w:p>
    <w:p>
      <w:r>
        <w:rPr>
          <w:b/>
        </w:rPr>
        <w:t>Mensaje de cierre:</w:t>
      </w:r>
      <w:r/>
      <w:r>
        <w:br/>
        <w:t>La ciberseguridad no es un destino, sino una trayectoria. La encuesta y este informe son dos puntos en el mapa para no caminar a ciegas.</w:t>
      </w:r>
    </w:p>
    <w:p>
      <w:pPr>
        <w:pStyle w:val="Heading2"/>
        <w:keepNext/>
        <w:keepLines/>
      </w:pPr>
      <w:r>
        <w:rPr>
          <w:color w:val="0066CC"/>
        </w:rPr>
        <w:t>10. Anexos sugeridos</w:t>
      </w:r>
    </w:p>
    <w:p>
      <w:pPr>
        <w:pStyle w:val="ListBullet"/>
        <w:keepLines w:val="1"/>
        <w:keepNext w:val="1"/>
        <w:widowControl w:val="1"/>
      </w:pPr>
      <w:r>
        <w:t xml:space="preserve">Glosario ENS / INES / AMPARO / CCN‑STIC. [web:21][web:32][web:33][web:39]  </w:t>
      </w:r>
    </w:p>
    <w:p>
      <w:pPr>
        <w:pStyle w:val="ListBullet"/>
        <w:keepLines w:val="1"/>
        <w:keepNext w:val="1"/>
        <w:widowControl w:val="1"/>
      </w:pPr>
      <w:r>
        <w:t xml:space="preserve">Resumen metodológico de cálculo del IGM y del ROI.  </w:t>
      </w:r>
    </w:p>
    <w:p>
      <w:pPr>
        <w:pStyle w:val="ListBullet"/>
        <w:keepLines w:val="1"/>
        <w:widowControl w:val="1"/>
      </w:pPr>
      <w:r>
        <w:t>Detalle de las preguntas y mapeo normativo (para uso de auditores y equipos técnicos).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