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(formato presentación) – Enfoque GQM + PRAGMATIC</w:t>
      </w:r>
    </w:p>
    <w:p>
      <w:pPr>
        <w:pStyle w:val="Heading2"/>
        <w:keepNext/>
        <w:keepLines/>
      </w:pPr>
      <w:r>
        <w:rPr>
          <w:color w:val="0066CC"/>
        </w:rPr>
        <w:t>Indicadores AMPARO–ENS</w:t>
      </w:r>
    </w:p>
    <w:p>
      <w:r>
        <w:t>Esta plantilla extiende la presentación clásica con la lógica GQM y la calidad PRAGMATIC de las métricas utilizadas.</w:t>
      </w:r>
    </w:p>
    <w:p>
      <w:pPr>
        <w:pStyle w:val="Heading2"/>
        <w:keepNext/>
        <w:keepLines/>
      </w:pPr>
      <w:r>
        <w:rPr>
          <w:color w:val="0066CC"/>
        </w:rPr>
        <w:t>1. Portada</w:t>
      </w:r>
    </w:p>
    <w:p>
      <w:r>
        <w:rPr>
          <w:b/>
        </w:rPr>
        <w:t>Título:</w:t>
      </w:r>
      <w:r/>
      <w:r>
        <w:br/>
        <w:t>“Madurez ENS, Riesgo y Resiliencia – Informe basado en GQM + PRAGMATIC”</w:t>
      </w:r>
    </w:p>
    <w:p>
      <w:r>
        <w:rPr>
          <w:b/>
        </w:rPr>
        <w:t>Subtítulo:</w:t>
      </w:r>
      <w:r/>
      <w:r>
        <w:br/>
        <w:t>“Resultados de la Encuesta AMPARO–ENS y del sistema de indicadores CCN‑STIC‑815/824”</w:t>
      </w:r>
    </w:p>
    <w:p>
      <w:pPr>
        <w:pStyle w:val="Heading2"/>
        <w:keepNext/>
        <w:keepLines/>
      </w:pPr>
      <w:r>
        <w:rPr>
          <w:color w:val="0066CC"/>
        </w:rPr>
        <w:t>2. Contexto, objetivos y marco de referencia</w:t>
      </w:r>
    </w:p>
    <w:p>
      <w:r>
        <w:rPr>
          <w:b/>
        </w:rPr>
        <w:t>Diapositiva: “De ENS a las métricas que importan”</w:t>
      </w:r>
    </w:p>
    <w:p>
      <w:pPr>
        <w:pStyle w:val="ListBullet"/>
        <w:keepLines w:val="1"/>
        <w:keepNext w:val="1"/>
        <w:widowControl w:val="1"/>
      </w:pPr>
      <w:r>
        <w:t xml:space="preserve">ENS (RD 311/2022) como marco de referencia. [web:30][web:3]  </w:t>
      </w:r>
    </w:p>
    <w:p>
      <w:pPr>
        <w:pStyle w:val="ListBullet"/>
        <w:keepLines w:val="1"/>
        <w:keepNext w:val="1"/>
        <w:widowControl w:val="1"/>
      </w:pPr>
      <w:r>
        <w:t xml:space="preserve">INES y AMPARO como instrumentos de recogida y gobernanza de datos. [web:21][web:39]  </w:t>
      </w:r>
    </w:p>
    <w:p>
      <w:pPr>
        <w:pStyle w:val="ListBullet"/>
        <w:keepLines w:val="1"/>
        <w:widowControl w:val="1"/>
      </w:pPr>
      <w:r>
        <w:t>GQM + PRAGMATIC como metodología para asegurar que cada indicador responde a un objetivo y tiene calidad suficiente.</w:t>
      </w:r>
    </w:p>
    <w:p>
      <w:pPr>
        <w:pStyle w:val="Heading2"/>
        <w:keepNext/>
        <w:keepLines/>
      </w:pPr>
      <w:r>
        <w:rPr>
          <w:color w:val="0066CC"/>
        </w:rPr>
        <w:t>3. Metodología GQM + PRAGMATIC (1–2 diapositivas)</w:t>
      </w:r>
    </w:p>
    <w:p>
      <w:r>
        <w:rPr>
          <w:b/>
        </w:rPr>
        <w:t>Diapositiva 1: “GQM: Objetivo → Pregunta → Métrica”</w:t>
      </w:r>
    </w:p>
    <w:p>
      <w:pPr>
        <w:pStyle w:val="ListBullet"/>
        <w:keepLines w:val="1"/>
        <w:keepNext w:val="1"/>
        <w:widowControl w:val="1"/>
      </w:pPr>
      <w:r>
        <w:t xml:space="preserve">Ejemplo visual:  </w:t>
      </w:r>
    </w:p>
    <w:p>
      <w:pPr>
        <w:pStyle w:val="ListBullet"/>
        <w:keepLines w:val="1"/>
        <w:keepNext w:val="1"/>
        <w:widowControl w:val="1"/>
      </w:pPr>
      <w:r>
        <w:t xml:space="preserve">Objetivo G1: “Mejorar adecuación ENS”.  </w:t>
      </w:r>
    </w:p>
    <w:p>
      <w:pPr>
        <w:pStyle w:val="ListBullet"/>
        <w:keepLines w:val="1"/>
        <w:keepNext w:val="1"/>
        <w:widowControl w:val="1"/>
      </w:pPr>
      <w:r>
        <w:t xml:space="preserve">Pregunta: “¿Qué porcentaje de medidas ENS relevantes están implantadas?”  </w:t>
      </w:r>
    </w:p>
    <w:p>
      <w:pPr>
        <w:pStyle w:val="ListBullet"/>
        <w:keepLines w:val="1"/>
        <w:widowControl w:val="1"/>
      </w:pPr>
      <w:r>
        <w:t>Métrica: “% de medidas ENS implantadas (M1.1)”.</w:t>
      </w:r>
    </w:p>
    <w:p>
      <w:r>
        <w:rPr>
          <w:b/>
        </w:rPr>
        <w:t>Diapositiva 2: “PRAGMATIC: 9 filtros para la calidad de la métrica”</w:t>
      </w:r>
    </w:p>
    <w:p>
      <w:pPr>
        <w:pStyle w:val="ListBullet"/>
        <w:keepLines w:val="1"/>
        <w:keepNext w:val="1"/>
        <w:widowControl w:val="1"/>
      </w:pPr>
      <w:r>
        <w:t xml:space="preserve">Lista de criterios PRAGMATIC.  </w:t>
      </w:r>
    </w:p>
    <w:p>
      <w:pPr>
        <w:pStyle w:val="ListBullet"/>
        <w:keepLines w:val="1"/>
        <w:widowControl w:val="1"/>
      </w:pPr>
      <w:r>
        <w:t>Gráfico radar de ejemplo comparando dos métricas (p.ej., nº páginas de la política vs. % MFA).</w:t>
      </w:r>
    </w:p>
    <w:p>
      <w:pPr>
        <w:pStyle w:val="Heading2"/>
        <w:keepNext/>
        <w:keepLines/>
      </w:pPr>
      <w:r>
        <w:rPr>
          <w:color w:val="0066CC"/>
        </w:rPr>
        <w:t>4. Resultados de madurez ENS (IGM y subíndices)</w:t>
      </w:r>
    </w:p>
    <w:p>
      <w:r>
        <w:rPr>
          <w:b/>
        </w:rPr>
        <w:t>Diapositiva: “Índice Global de Madurez ENS (IGM)”</w:t>
      </w:r>
    </w:p>
    <w:p>
      <w:pPr>
        <w:pStyle w:val="ListBullet"/>
        <w:keepLines w:val="1"/>
        <w:keepNext w:val="1"/>
        <w:widowControl w:val="1"/>
      </w:pPr>
      <w:r>
        <w:t xml:space="preserve">Gráfico: velocímetro o barra 0–100.  </w:t>
      </w:r>
    </w:p>
    <w:p>
      <w:pPr>
        <w:pStyle w:val="ListBullet"/>
        <w:keepLines w:val="1"/>
        <w:widowControl w:val="1"/>
      </w:pPr>
      <w:r>
        <w:t>En la nota, conectar con G1 y G6 (cumplimiento ENS y sistema de métricas). [web:32][web:33]</w:t>
      </w:r>
    </w:p>
    <w:p>
      <w:r>
        <w:rPr>
          <w:b/>
        </w:rPr>
        <w:t>Diapositiva: “Subíndices por Objetivo GQM”</w:t>
      </w:r>
    </w:p>
    <w:p>
      <w:pPr>
        <w:pStyle w:val="ListBullet"/>
        <w:keepLines w:val="1"/>
        <w:keepNext w:val="1"/>
        <w:widowControl w:val="1"/>
      </w:pPr>
      <w:r>
        <w:t xml:space="preserve">Radar o barras con:  </w:t>
      </w:r>
    </w:p>
    <w:p>
      <w:pPr>
        <w:pStyle w:val="ListBullet"/>
        <w:keepLines w:val="1"/>
        <w:keepNext w:val="1"/>
        <w:widowControl w:val="1"/>
      </w:pPr>
      <w:r>
        <w:t xml:space="preserve">G1 – Adecuación ENS.  </w:t>
      </w:r>
    </w:p>
    <w:p>
      <w:pPr>
        <w:pStyle w:val="ListBullet"/>
        <w:keepLines w:val="1"/>
        <w:keepNext w:val="1"/>
        <w:widowControl w:val="1"/>
      </w:pPr>
      <w:r>
        <w:t xml:space="preserve">G2 – Gestión de riesgos.  </w:t>
      </w:r>
    </w:p>
    <w:p>
      <w:pPr>
        <w:pStyle w:val="ListBullet"/>
        <w:keepLines w:val="1"/>
        <w:keepNext w:val="1"/>
        <w:widowControl w:val="1"/>
      </w:pPr>
      <w:r>
        <w:t xml:space="preserve">G3 – Zero Trust (identidad y red).  </w:t>
      </w:r>
    </w:p>
    <w:p>
      <w:pPr>
        <w:pStyle w:val="ListBullet"/>
        <w:keepLines w:val="1"/>
        <w:keepNext w:val="1"/>
        <w:widowControl w:val="1"/>
      </w:pPr>
      <w:r>
        <w:t xml:space="preserve">G4 – Ciberresiliencia.  </w:t>
      </w:r>
    </w:p>
    <w:p>
      <w:pPr>
        <w:pStyle w:val="ListBullet"/>
        <w:keepLines w:val="1"/>
        <w:keepNext w:val="1"/>
        <w:widowControl w:val="1"/>
      </w:pPr>
      <w:r>
        <w:t xml:space="preserve">G5 – Recursos y ROI.  </w:t>
      </w:r>
    </w:p>
    <w:p>
      <w:pPr>
        <w:pStyle w:val="ListBullet"/>
        <w:keepLines w:val="1"/>
        <w:widowControl w:val="1"/>
      </w:pPr>
      <w:r>
        <w:t>G6 – Sistema de métricas y gobernanza.</w:t>
      </w:r>
    </w:p>
    <w:p>
      <w:pPr>
        <w:pStyle w:val="Heading2"/>
        <w:keepNext/>
        <w:keepLines/>
      </w:pPr>
      <w:r>
        <w:rPr>
          <w:color w:val="0066CC"/>
        </w:rPr>
        <w:t>5. Métricas clave y su perfil PRAGMATIC</w:t>
      </w:r>
    </w:p>
    <w:p>
      <w:r>
        <w:rPr>
          <w:b/>
        </w:rPr>
        <w:t>Diapositiva: “Top 6 métricas que importan”</w:t>
      </w:r>
    </w:p>
    <w:p>
      <w:r>
        <w:t>Por ejemplo:</w:t>
      </w:r>
    </w:p>
    <w:p>
      <w:pPr>
        <w:pStyle w:val="ListBullet"/>
        <w:keepLines w:val="1"/>
        <w:keepNext w:val="1"/>
        <w:widowControl w:val="1"/>
      </w:pPr>
      <w:r>
        <w:t xml:space="preserve">% medidas ENS implantadas (M1.1).  </w:t>
      </w:r>
    </w:p>
    <w:p>
      <w:pPr>
        <w:pStyle w:val="ListBullet"/>
        <w:keepLines w:val="1"/>
        <w:keepNext w:val="1"/>
        <w:widowControl w:val="1"/>
      </w:pPr>
      <w:r>
        <w:t xml:space="preserve">% cuentas privilegiadas con MFA (M3.1).  </w:t>
      </w:r>
    </w:p>
    <w:p>
      <w:pPr>
        <w:pStyle w:val="ListBullet"/>
        <w:keepLines w:val="1"/>
        <w:keepNext w:val="1"/>
        <w:widowControl w:val="1"/>
      </w:pPr>
      <w:r>
        <w:t xml:space="preserve">MTTD de incidentes críticos (M4.1).  </w:t>
      </w:r>
    </w:p>
    <w:p>
      <w:pPr>
        <w:pStyle w:val="ListBullet"/>
        <w:keepLines w:val="1"/>
        <w:keepNext w:val="1"/>
        <w:widowControl w:val="1"/>
      </w:pPr>
      <w:r>
        <w:t xml:space="preserve">% incidentes que cumplen RTO/RPO (M4.3).  </w:t>
      </w:r>
    </w:p>
    <w:p>
      <w:pPr>
        <w:pStyle w:val="ListBullet"/>
        <w:keepLines w:val="1"/>
        <w:keepNext w:val="1"/>
        <w:widowControl w:val="1"/>
      </w:pPr>
      <w:r>
        <w:t xml:space="preserve">% presupuesto TI en seguridad (M5.1).  </w:t>
      </w:r>
    </w:p>
    <w:p>
      <w:pPr>
        <w:pStyle w:val="ListBullet"/>
        <w:keepLines w:val="1"/>
        <w:widowControl w:val="1"/>
      </w:pPr>
      <w:r>
        <w:t>Nº de indicadores activos en cuadro de mando (M6.1).</w:t>
      </w:r>
    </w:p>
    <w:p>
      <w:r>
        <w:t>Para cada una:</w:t>
      </w:r>
    </w:p>
    <w:p>
      <w:pPr>
        <w:pStyle w:val="ListBullet"/>
        <w:keepLines w:val="1"/>
        <w:keepNext w:val="1"/>
        <w:widowControl w:val="1"/>
      </w:pPr>
      <w:r>
        <w:t xml:space="preserve">Valor actual.  </w:t>
      </w:r>
    </w:p>
    <w:p>
      <w:pPr>
        <w:pStyle w:val="ListBullet"/>
        <w:keepLines w:val="1"/>
        <w:keepNext w:val="1"/>
        <w:widowControl w:val="1"/>
      </w:pPr>
      <w:r>
        <w:t xml:space="preserve">Tendencia.  </w:t>
      </w:r>
    </w:p>
    <w:p>
      <w:pPr>
        <w:pStyle w:val="ListBullet"/>
        <w:keepLines w:val="1"/>
        <w:widowControl w:val="1"/>
      </w:pPr>
      <w:r>
        <w:t>Gráfico mini radar PRAGMATIC (opcional).</w:t>
      </w:r>
    </w:p>
    <w:p>
      <w:r>
        <w:rPr>
          <w:b/>
        </w:rPr>
        <w:t>Mensaje clave:</w:t>
      </w:r>
      <w:r/>
      <w:r>
        <w:br/>
        <w:t>Los indicadores seleccionados no son los únicos, pero sí los que mejor combinan relevancia, predictividad y capacidad de acción.</w:t>
      </w:r>
    </w:p>
    <w:p>
      <w:pPr>
        <w:pStyle w:val="Heading2"/>
        <w:keepNext/>
        <w:keepLines/>
      </w:pPr>
      <w:r>
        <w:rPr>
          <w:color w:val="0066CC"/>
        </w:rPr>
        <w:t>6. Brechas, riesgos y oportunidades</w:t>
      </w:r>
    </w:p>
    <w:p>
      <w:r>
        <w:rPr>
          <w:b/>
        </w:rPr>
        <w:t>Diapositiva: “Brechas ENS por objetivo GQM”</w:t>
      </w:r>
    </w:p>
    <w:p>
      <w:r>
        <w:t>Tabla:</w:t>
      </w:r>
    </w:p>
    <w:p>
      <w:pPr>
        <w:pStyle w:val="ListBullet"/>
        <w:keepLines w:val="1"/>
        <w:keepNext w:val="1"/>
        <w:widowControl w:val="1"/>
      </w:pPr>
      <w:r>
        <w:t xml:space="preserve">Columna 1: Objetivo (G1…G6).  </w:t>
      </w:r>
    </w:p>
    <w:p>
      <w:pPr>
        <w:pStyle w:val="ListBullet"/>
        <w:keepLines w:val="1"/>
        <w:keepNext w:val="1"/>
        <w:widowControl w:val="1"/>
      </w:pPr>
      <w:r>
        <w:t xml:space="preserve">Columna 2: Métricas críticas.  </w:t>
      </w:r>
    </w:p>
    <w:p>
      <w:pPr>
        <w:pStyle w:val="ListBullet"/>
        <w:keepLines w:val="1"/>
        <w:keepNext w:val="1"/>
        <w:widowControl w:val="1"/>
      </w:pPr>
      <w:r>
        <w:t xml:space="preserve">Columna 3: Situación (rojo/ámbar/verde).  </w:t>
      </w:r>
    </w:p>
    <w:p>
      <w:pPr>
        <w:pStyle w:val="ListBullet"/>
        <w:keepLines w:val="1"/>
        <w:widowControl w:val="1"/>
      </w:pPr>
      <w:r>
        <w:t>Columna 4: Riesgo asociado (técnico, regulatorio, reputacional).</w:t>
      </w:r>
    </w:p>
    <w:p>
      <w:r>
        <w:rPr>
          <w:b/>
        </w:rPr>
        <w:t>Diapositiva: “Horizonte de mejora”</w:t>
      </w:r>
    </w:p>
    <w:p>
      <w:pPr>
        <w:pStyle w:val="ListBullet"/>
        <w:keepLines w:val="1"/>
        <w:keepNext w:val="1"/>
        <w:widowControl w:val="1"/>
      </w:pPr>
      <w:r>
        <w:t xml:space="preserve">Identificación de 3–5 líneas de mejora con vínculo explícito:  </w:t>
      </w:r>
    </w:p>
    <w:p>
      <w:pPr>
        <w:pStyle w:val="ListBullet"/>
        <w:keepLines w:val="1"/>
        <w:keepNext w:val="1"/>
        <w:widowControl w:val="1"/>
      </w:pPr>
      <w:r>
        <w:t xml:space="preserve">Ejemplo: “Incrementar % MFA en cuentas privilegiadas (G3) → reducción riesgo compromiso privilegios”.  </w:t>
      </w:r>
    </w:p>
    <w:p>
      <w:pPr>
        <w:pStyle w:val="ListBullet"/>
        <w:keepLines w:val="1"/>
        <w:widowControl w:val="1"/>
      </w:pPr>
      <w:r>
        <w:t>Ejemplo: “Reducir MTTD a menos de X horas (G4) → menor impacto de incidentes”.</w:t>
      </w:r>
    </w:p>
    <w:p>
      <w:pPr>
        <w:pStyle w:val="Heading2"/>
        <w:keepNext/>
        <w:keepLines/>
      </w:pPr>
      <w:r>
        <w:rPr>
          <w:color w:val="0066CC"/>
        </w:rPr>
        <w:t>7. ROI de ciberseguridad</w:t>
      </w:r>
    </w:p>
    <w:p>
      <w:r>
        <w:rPr>
          <w:b/>
        </w:rPr>
        <w:t>Diapositiva: “Inversión vs. reducción de riesgo”</w:t>
      </w:r>
    </w:p>
    <w:p>
      <w:pPr>
        <w:pStyle w:val="ListBullet"/>
        <w:keepLines w:val="1"/>
        <w:keepNext w:val="1"/>
        <w:widowControl w:val="1"/>
      </w:pPr>
      <w:r>
        <w:t xml:space="preserve">Gráfico que muestre, para 2–3 escenarios, relación inversión / costes de incidentes evitados.  </w:t>
      </w:r>
    </w:p>
    <w:p>
      <w:pPr>
        <w:pStyle w:val="ListBullet"/>
        <w:keepLines w:val="1"/>
        <w:widowControl w:val="1"/>
      </w:pPr>
      <w:r>
        <w:t>Referencia al uso de métricas M5.1, M4.1, M4.3, etc.</w:t>
      </w:r>
    </w:p>
    <w:p>
      <w:r>
        <w:rPr>
          <w:b/>
        </w:rPr>
        <w:t>Mensaje para dirección financiera:</w:t>
      </w:r>
      <w:r/>
      <w:r>
        <w:br/>
        <w:t>“Estos proyectos no son solo gasto regulatorio: hay una expectativa cuantificada de reducción de pérdidas y de exposición ENS/NIS2.” [web:30][web:8][web:13]</w:t>
      </w:r>
    </w:p>
    <w:p>
      <w:pPr>
        <w:pStyle w:val="Heading2"/>
        <w:keepNext/>
        <w:keepLines/>
      </w:pPr>
      <w:r>
        <w:rPr>
          <w:color w:val="0066CC"/>
        </w:rPr>
        <w:t>8. Recomendaciones y plan a 12–24 meses</w:t>
      </w:r>
    </w:p>
    <w:p>
      <w:r>
        <w:rPr>
          <w:b/>
        </w:rPr>
        <w:t>Diapositiva: “Mapa de acciones priorizadas”</w:t>
      </w:r>
    </w:p>
    <w:p>
      <w:r>
        <w:t>Tabla:</w:t>
      </w:r>
    </w:p>
    <w:p>
      <w:pPr>
        <w:pStyle w:val="ListBullet"/>
        <w:keepLines w:val="1"/>
        <w:keepNext w:val="1"/>
        <w:widowControl w:val="1"/>
      </w:pPr>
      <w:r>
        <w:t xml:space="preserve">Acción.  </w:t>
      </w:r>
    </w:p>
    <w:p>
      <w:pPr>
        <w:pStyle w:val="ListBullet"/>
        <w:keepLines w:val="1"/>
        <w:keepNext w:val="1"/>
        <w:widowControl w:val="1"/>
      </w:pPr>
      <w:r>
        <w:t xml:space="preserve">Objetivo GQM asociado.  </w:t>
      </w:r>
    </w:p>
    <w:p>
      <w:pPr>
        <w:pStyle w:val="ListBullet"/>
        <w:keepLines w:val="1"/>
        <w:keepNext w:val="1"/>
        <w:widowControl w:val="1"/>
      </w:pPr>
      <w:r>
        <w:t xml:space="preserve">Indicador(es) que medirán el éxito.  </w:t>
      </w:r>
    </w:p>
    <w:p>
      <w:pPr>
        <w:pStyle w:val="ListBullet"/>
        <w:keepLines w:val="1"/>
        <w:keepNext w:val="1"/>
        <w:widowControl w:val="1"/>
      </w:pPr>
      <w:r>
        <w:t xml:space="preserve">Horizonte temporal.  </w:t>
      </w:r>
    </w:p>
    <w:p>
      <w:pPr>
        <w:pStyle w:val="ListBullet"/>
        <w:keepLines w:val="1"/>
        <w:widowControl w:val="1"/>
      </w:pPr>
      <w:r>
        <w:t xml:space="preserve">Responsable.  </w:t>
      </w:r>
    </w:p>
    <w:p>
      <w:r>
        <w:rPr>
          <w:b/>
        </w:rPr>
        <w:t>Ejemplo:</w:t>
      </w:r>
    </w:p>
    <w:p>
      <w:pPr>
        <w:pStyle w:val="ListBullet"/>
        <w:keepLines w:val="1"/>
        <w:keepNext w:val="1"/>
        <w:widowControl w:val="1"/>
      </w:pPr>
      <w:r>
        <w:t xml:space="preserve">Acción: Desplegar MFA al 100 % de privilegios.  </w:t>
      </w:r>
    </w:p>
    <w:p>
      <w:pPr>
        <w:pStyle w:val="ListBullet"/>
        <w:keepLines w:val="1"/>
        <w:keepNext w:val="1"/>
        <w:widowControl w:val="1"/>
      </w:pPr>
      <w:r>
        <w:t xml:space="preserve">GQM: G3.  </w:t>
      </w:r>
    </w:p>
    <w:p>
      <w:pPr>
        <w:pStyle w:val="ListBullet"/>
        <w:keepLines w:val="1"/>
        <w:keepNext w:val="1"/>
        <w:widowControl w:val="1"/>
      </w:pPr>
      <w:r>
        <w:t xml:space="preserve">Indicador: M3.1.  </w:t>
      </w:r>
    </w:p>
    <w:p>
      <w:pPr>
        <w:pStyle w:val="ListBullet"/>
        <w:keepLines w:val="1"/>
        <w:keepNext w:val="1"/>
        <w:widowControl w:val="1"/>
      </w:pPr>
      <w:r>
        <w:t xml:space="preserve">Horizonte: 12 meses.  </w:t>
      </w:r>
    </w:p>
    <w:p>
      <w:pPr>
        <w:pStyle w:val="ListBullet"/>
        <w:keepLines w:val="1"/>
        <w:widowControl w:val="1"/>
      </w:pPr>
      <w:r>
        <w:t>Responsable: CISO/CIO.</w:t>
      </w:r>
    </w:p>
    <w:p>
      <w:pPr>
        <w:pStyle w:val="Heading2"/>
        <w:keepNext/>
        <w:keepLines/>
      </w:pPr>
      <w:r>
        <w:rPr>
          <w:color w:val="0066CC"/>
        </w:rPr>
        <w:t>9. Próximos pasos</w:t>
      </w:r>
    </w:p>
    <w:p>
      <w:r>
        <w:rPr>
          <w:b/>
        </w:rPr>
        <w:t>Diapositiva: “Del indicador a la decisión”</w:t>
      </w:r>
    </w:p>
    <w:p>
      <w:pPr>
        <w:pStyle w:val="ListBullet"/>
        <w:keepLines w:val="1"/>
        <w:keepNext w:val="1"/>
        <w:widowControl w:val="1"/>
      </w:pPr>
      <w:r>
        <w:t xml:space="preserve">Aprobación del plan y sus métricas de seguimiento.  </w:t>
      </w:r>
    </w:p>
    <w:p>
      <w:pPr>
        <w:pStyle w:val="ListBullet"/>
        <w:keepLines w:val="1"/>
        <w:keepNext w:val="1"/>
        <w:widowControl w:val="1"/>
      </w:pPr>
      <w:r>
        <w:t xml:space="preserve">Integración en INES/AMPARO y cuadros de mando internos. [web:21][web:39]  </w:t>
      </w:r>
    </w:p>
    <w:p>
      <w:pPr>
        <w:pStyle w:val="ListBullet"/>
        <w:keepLines w:val="1"/>
        <w:widowControl w:val="1"/>
      </w:pPr>
      <w:r>
        <w:t>Revisión de GQM y PRAGMATIC en ciclo anual.</w:t>
      </w:r>
    </w:p>
    <w:p>
      <w:r>
        <w:t>Cierre sugerido:</w:t>
      </w:r>
      <w:r/>
      <w:r>
        <w:br/>
        <w:t>“Medir no nos hace seguros, pero no medir nos garantiza volar a ciegas. Este informe es el mapa; las decisiones están en sus manos.”</w:t>
      </w:r>
    </w:p>
    <w:p>
      <w:pPr>
        <w:pStyle w:val="Heading2"/>
        <w:keepNext/>
        <w:keepLines/>
      </w:pPr>
      <w:r>
        <w:rPr>
          <w:color w:val="0066CC"/>
        </w:rPr>
        <w:t>10. Anexos</w:t>
      </w:r>
    </w:p>
    <w:p>
      <w:pPr>
        <w:pStyle w:val="ListBullet"/>
        <w:keepLines w:val="1"/>
        <w:keepNext w:val="1"/>
        <w:widowControl w:val="1"/>
      </w:pPr>
      <w:r>
        <w:t xml:space="preserve">Tabla de mapeo GQM + ENS + Métricas.  </w:t>
      </w:r>
    </w:p>
    <w:p>
      <w:pPr>
        <w:pStyle w:val="ListBullet"/>
        <w:keepLines w:val="1"/>
        <w:keepNext w:val="1"/>
        <w:widowControl w:val="1"/>
      </w:pPr>
      <w:r>
        <w:t xml:space="preserve">Matriz PRAGMATIC completa (solo para uso interno y técnicos).  </w:t>
      </w:r>
    </w:p>
    <w:p>
      <w:pPr>
        <w:pStyle w:val="ListBullet"/>
        <w:keepLines w:val="1"/>
        <w:widowControl w:val="1"/>
      </w:pPr>
      <w:r>
        <w:t>Descripción sintética de la encuesta y del modelo de cálculo del IGM/ROI.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