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AMPARO–ENS</w:t>
      </w:r>
    </w:p>
    <w:p>
      <w:pPr>
        <w:pStyle w:val="Heading2"/>
        <w:keepNext/>
        <w:keepLines/>
      </w:pPr>
      <w:r>
        <w:rPr>
          <w:color w:val="0066CC"/>
        </w:rPr>
        <w:t>Versión 1.0</w:t>
      </w:r>
    </w:p>
    <w:p>
      <w:pPr>
        <w:pStyle w:val="Heading3"/>
        <w:keepNext/>
        <w:keepLines/>
      </w:pPr>
      <w:r>
        <w:t>1. ¿Qué es este kit?</w:t>
      </w:r>
    </w:p>
    <w:p>
      <w:r>
        <w:t>Este kit reúne todos los componentes necesarios para diseñar, ejecutar y explotar una encuesta de madurez de ciberseguridad alineada con el Esquema Nacional de Seguridad (ENS), las guías CCN‑STIC‑815 y 824, y las herramientas INES y AMPARO. [web:30][web:32][web:33][web:21][web:39]</w:t>
      </w:r>
    </w:p>
    <w:p>
      <w:r>
        <w:t>Incluye:</w:t>
      </w:r>
    </w:p>
    <w:p>
      <w:pPr>
        <w:pStyle w:val="ListBullet"/>
        <w:keepLines w:val="1"/>
        <w:keepNext w:val="1"/>
        <w:widowControl w:val="1"/>
      </w:pPr>
      <w:r>
        <w:t xml:space="preserve">Modelo de encuesta integral (a_modelo_encuesta.md).  </w:t>
      </w:r>
    </w:p>
    <w:p>
      <w:pPr>
        <w:pStyle w:val="ListBullet"/>
        <w:keepLines w:val="1"/>
        <w:keepNext w:val="1"/>
        <w:widowControl w:val="1"/>
      </w:pPr>
      <w:r>
        <w:t xml:space="preserve">Guía metodológica para su aplicación y análisis (b_guia_metodologica.md).  </w:t>
      </w:r>
    </w:p>
    <w:p>
      <w:pPr>
        <w:pStyle w:val="ListBullet"/>
        <w:keepLines w:val="1"/>
        <w:keepNext w:val="1"/>
        <w:widowControl w:val="1"/>
      </w:pPr>
      <w:r>
        <w:t xml:space="preserve">Narrativa explicativa para contextualizar y “vender” el ejercicio (c_narrativa_explicativa.md).  </w:t>
      </w:r>
    </w:p>
    <w:p>
      <w:pPr>
        <w:pStyle w:val="ListBullet"/>
        <w:keepLines w:val="1"/>
        <w:keepNext w:val="1"/>
        <w:widowControl w:val="1"/>
      </w:pPr>
      <w:r>
        <w:t xml:space="preserve">Mapeo de preguntas a requisitos normativos (d_mapeo_preguntas_requisitos.md).  </w:t>
      </w:r>
    </w:p>
    <w:p>
      <w:pPr>
        <w:pStyle w:val="ListBullet"/>
        <w:keepLines w:val="1"/>
        <w:keepNext w:val="1"/>
        <w:widowControl w:val="1"/>
      </w:pPr>
      <w:r>
        <w:t xml:space="preserve">Plantilla conceptual de Excel para cálculo de IGM y ROI (e_plantilla_excel_IGM_ROI.md).  </w:t>
      </w:r>
    </w:p>
    <w:p>
      <w:pPr>
        <w:pStyle w:val="ListBullet"/>
        <w:keepLines w:val="1"/>
        <w:widowControl w:val="1"/>
      </w:pPr>
      <w:r>
        <w:t xml:space="preserve">Plantilla de reporte ejecutivo tipo presentación (f_plantilla_reporte_ejecutivo.md).  </w:t>
      </w:r>
    </w:p>
    <w:p>
      <w:pPr>
        <w:pStyle w:val="Heading3"/>
        <w:keepNext/>
        <w:keepLines/>
      </w:pPr>
      <w:r>
        <w:t>2. A quién va dirigido</w:t>
      </w:r>
    </w:p>
    <w:p>
      <w:pPr>
        <w:pStyle w:val="ListBullet"/>
        <w:keepLines w:val="1"/>
        <w:keepNext w:val="1"/>
        <w:widowControl w:val="1"/>
      </w:pPr>
      <w:r>
        <w:t xml:space="preserve">Responsables de seguridad de la información (CISO).  </w:t>
      </w:r>
    </w:p>
    <w:p>
      <w:pPr>
        <w:pStyle w:val="ListBullet"/>
        <w:keepLines w:val="1"/>
        <w:keepNext w:val="1"/>
        <w:widowControl w:val="1"/>
      </w:pPr>
      <w:r>
        <w:t xml:space="preserve">Responsables ENS/NIS2 e interlocutores frente a órganos de control.  </w:t>
      </w:r>
    </w:p>
    <w:p>
      <w:pPr>
        <w:pStyle w:val="ListBullet"/>
        <w:keepLines w:val="1"/>
        <w:keepNext w:val="1"/>
        <w:widowControl w:val="1"/>
      </w:pPr>
      <w:r>
        <w:t xml:space="preserve">Equipos de riesgos, auditoría y cumplimiento.  </w:t>
      </w:r>
    </w:p>
    <w:p>
      <w:pPr>
        <w:pStyle w:val="ListBullet"/>
        <w:keepLines w:val="1"/>
        <w:widowControl w:val="1"/>
      </w:pPr>
      <w:r>
        <w:t>Direcciones de TI y de operaciones que necesitan una base cuantitativa para planificar.</w:t>
      </w:r>
    </w:p>
    <w:p>
      <w:pPr>
        <w:pStyle w:val="Heading3"/>
        <w:keepNext/>
        <w:keepLines/>
      </w:pPr>
      <w:r>
        <w:t>3. Cómo empezar</w:t>
      </w:r>
    </w:p>
    <w:p>
      <w:pPr>
        <w:pStyle w:val="ListNumber"/>
        <w:keepLines w:val="1"/>
        <w:keepNext w:val="1"/>
        <w:widowControl w:val="1"/>
      </w:pPr>
      <w:r>
        <w:t xml:space="preserve">Leer la guía metodológica (b_guia_metodologica.md) para entender el enfoque de indicadores y el cálculo del IGM/ROI.  </w:t>
      </w:r>
    </w:p>
    <w:p>
      <w:pPr>
        <w:pStyle w:val="ListNumber"/>
        <w:keepLines w:val="1"/>
        <w:keepNext w:val="1"/>
        <w:widowControl w:val="1"/>
      </w:pPr>
      <w:r>
        <w:t xml:space="preserve">Revisar el modelo de encuesta (a_modelo_encuesta.md) y adaptarlo mínimamente al contexto organizativo (solo donde sea imprescindible).  </w:t>
      </w:r>
    </w:p>
    <w:p>
      <w:pPr>
        <w:pStyle w:val="ListNumber"/>
        <w:keepLines w:val="1"/>
        <w:keepNext w:val="1"/>
        <w:widowControl w:val="1"/>
      </w:pPr>
      <w:r>
        <w:t xml:space="preserve">Definir el alcance (una organización, un grupo, un sector, un ámbito territorial).  </w:t>
      </w:r>
    </w:p>
    <w:p>
      <w:pPr>
        <w:pStyle w:val="ListNumber"/>
        <w:keepLines w:val="1"/>
        <w:keepNext w:val="1"/>
        <w:widowControl w:val="1"/>
      </w:pPr>
      <w:r>
        <w:t xml:space="preserve">Configurar el soporte técnico (formulario online, herramienta de encuestas o captura manual).  </w:t>
      </w:r>
    </w:p>
    <w:p>
      <w:pPr>
        <w:pStyle w:val="ListNumber"/>
        <w:keepLines w:val="1"/>
        <w:widowControl w:val="1"/>
      </w:pPr>
      <w:r>
        <w:t>Informar a los participantes sobre objetivos, confidencialidad y uso de los resultados.</w:t>
      </w:r>
    </w:p>
    <w:p>
      <w:pPr>
        <w:pStyle w:val="Heading3"/>
        <w:keepNext/>
        <w:keepLines/>
      </w:pPr>
      <w:r>
        <w:t>4. Ejecutar la encuesta</w:t>
      </w:r>
    </w:p>
    <w:p>
      <w:pPr>
        <w:pStyle w:val="ListBullet"/>
        <w:keepLines w:val="1"/>
        <w:keepNext w:val="1"/>
        <w:widowControl w:val="1"/>
      </w:pPr>
      <w:r>
        <w:t xml:space="preserve">Designar un coordinador interno.  </w:t>
      </w:r>
    </w:p>
    <w:p>
      <w:pPr>
        <w:pStyle w:val="ListBullet"/>
        <w:keepLines w:val="1"/>
        <w:keepNext w:val="1"/>
        <w:widowControl w:val="1"/>
      </w:pPr>
      <w:r>
        <w:t xml:space="preserve">Fijar un calendario realista (2–4 semanas según la complejidad).  </w:t>
      </w:r>
    </w:p>
    <w:p>
      <w:pPr>
        <w:pStyle w:val="ListBullet"/>
        <w:keepLines w:val="1"/>
        <w:keepNext w:val="1"/>
        <w:widowControl w:val="1"/>
      </w:pPr>
      <w:r>
        <w:t xml:space="preserve">Promover que las respuestas se consensúen entre áreas clave (TI, seguridad, riesgos, continuidad, etc.).  </w:t>
      </w:r>
    </w:p>
    <w:p>
      <w:pPr>
        <w:pStyle w:val="ListBullet"/>
        <w:keepLines w:val="1"/>
        <w:widowControl w:val="1"/>
      </w:pPr>
      <w:r>
        <w:t>Hacer seguimiento suave pero firme: la inercia es el mayor enemigo de la métrica.</w:t>
      </w:r>
    </w:p>
    <w:p>
      <w:pPr>
        <w:pStyle w:val="Heading3"/>
        <w:keepNext/>
        <w:keepLines/>
      </w:pPr>
      <w:r>
        <w:t>5. Procesar resultados</w:t>
      </w:r>
    </w:p>
    <w:p>
      <w:pPr>
        <w:pStyle w:val="ListNumber"/>
        <w:keepLines w:val="1"/>
        <w:keepNext w:val="1"/>
        <w:widowControl w:val="1"/>
      </w:pPr>
      <w:r>
        <w:t xml:space="preserve">Volcar las respuestas en la plantilla Excel conceptual descrita en e_plantilla_excel_IGM_ROI.md.  </w:t>
      </w:r>
    </w:p>
    <w:p>
      <w:pPr>
        <w:pStyle w:val="ListNumber"/>
        <w:keepLines w:val="1"/>
        <w:keepNext w:val="1"/>
        <w:widowControl w:val="1"/>
      </w:pPr>
      <w:r>
        <w:t xml:space="preserve">Codificar las respuestas según el diccionario de preguntas.  </w:t>
      </w:r>
    </w:p>
    <w:p>
      <w:pPr>
        <w:pStyle w:val="ListNumber"/>
        <w:keepLines w:val="1"/>
        <w:keepNext w:val="1"/>
        <w:widowControl w:val="1"/>
      </w:pPr>
      <w:r>
        <w:t xml:space="preserve">Calcular subíndices e IGM.  </w:t>
      </w:r>
    </w:p>
    <w:p>
      <w:pPr>
        <w:pStyle w:val="ListNumber"/>
        <w:keepLines w:val="1"/>
        <w:widowControl w:val="1"/>
      </w:pPr>
      <w:r>
        <w:t>Explorar escenarios de ROI de ciberseguridad en función de inversiones y reducción de riesgo.</w:t>
      </w:r>
    </w:p>
    <w:p>
      <w:pPr>
        <w:pStyle w:val="Heading3"/>
        <w:keepNext/>
        <w:keepLines/>
      </w:pPr>
      <w:r>
        <w:t>6. Elaborar el informe y la presentación</w:t>
      </w:r>
    </w:p>
    <w:p>
      <w:pPr>
        <w:pStyle w:val="ListBullet"/>
        <w:keepLines w:val="1"/>
        <w:keepNext w:val="1"/>
        <w:widowControl w:val="1"/>
      </w:pPr>
      <w:r>
        <w:t xml:space="preserve">Utilizar la plantilla de reporte ejecutivo (f_plantilla_reporte_ejecutivo.md) como base para una presentación a alta dirección.  </w:t>
      </w:r>
    </w:p>
    <w:p>
      <w:pPr>
        <w:pStyle w:val="ListBullet"/>
        <w:keepLines w:val="1"/>
        <w:keepNext w:val="1"/>
        <w:widowControl w:val="1"/>
      </w:pPr>
      <w:r>
        <w:t xml:space="preserve">Acompañar la presentación con un informe escrito (puede extraerse de la propia encuesta y los análisis).  </w:t>
      </w:r>
    </w:p>
    <w:p>
      <w:pPr>
        <w:pStyle w:val="ListBullet"/>
        <w:keepLines w:val="1"/>
        <w:widowControl w:val="1"/>
      </w:pPr>
      <w:r>
        <w:t>Incorporar, si procede, comparaciones con encuestas anteriores o con otras entidades (de forma anonimizada).</w:t>
      </w:r>
    </w:p>
    <w:p>
      <w:pPr>
        <w:pStyle w:val="Heading3"/>
        <w:keepNext/>
        <w:keepLines/>
      </w:pPr>
      <w:r>
        <w:t>7. Integración con ENS, INES y AMPARO</w:t>
      </w:r>
    </w:p>
    <w:p>
      <w:r>
        <w:t>Este kit no sustituye a:</w:t>
      </w:r>
    </w:p>
    <w:p>
      <w:pPr>
        <w:pStyle w:val="ListBullet"/>
        <w:keepLines w:val="1"/>
        <w:keepNext w:val="1"/>
        <w:widowControl w:val="1"/>
      </w:pPr>
      <w:r>
        <w:t xml:space="preserve">El Informe INES ni las obligaciones formales derivadas del ENS. [web:21][web:30]  </w:t>
      </w:r>
    </w:p>
    <w:p>
      <w:pPr>
        <w:pStyle w:val="ListBullet"/>
        <w:keepLines w:val="1"/>
        <w:widowControl w:val="1"/>
      </w:pPr>
      <w:r>
        <w:t>Las guías oficiales CCN‑STIC sobre métricas, auditoría y adecuación. [web:32][web:33][web:28]</w:t>
      </w:r>
    </w:p>
    <w:p>
      <w:r>
        <w:t>Lo que hace es:</w:t>
      </w:r>
    </w:p>
    <w:p>
      <w:pPr>
        <w:pStyle w:val="ListBullet"/>
        <w:keepLines w:val="1"/>
        <w:keepNext w:val="1"/>
        <w:widowControl w:val="1"/>
      </w:pPr>
      <w:r>
        <w:t xml:space="preserve">Facilitar una autoevaluación estructurada y reutilizable en el tiempo.  </w:t>
      </w:r>
    </w:p>
    <w:p>
      <w:pPr>
        <w:pStyle w:val="ListBullet"/>
        <w:keepLines w:val="1"/>
        <w:keepNext w:val="1"/>
        <w:widowControl w:val="1"/>
      </w:pPr>
      <w:r>
        <w:t xml:space="preserve">Crear un puente práctico entre la teoría normativa y la realidad organizativa.  </w:t>
      </w:r>
    </w:p>
    <w:p>
      <w:pPr>
        <w:pStyle w:val="ListBullet"/>
        <w:keepLines w:val="1"/>
        <w:widowControl w:val="1"/>
      </w:pPr>
      <w:r>
        <w:t>Proporcionar insumos para mejorar la calidad y el aprovechamiento de INES y AMPARO como herramientas de gobernanza. [web:21][web:39]</w:t>
      </w:r>
    </w:p>
    <w:p>
      <w:pPr>
        <w:pStyle w:val="Heading3"/>
        <w:keepNext/>
        <w:keepLines/>
      </w:pPr>
      <w:r>
        <w:t>8. Buenas prácticas de uso</w:t>
      </w:r>
    </w:p>
    <w:p>
      <w:pPr>
        <w:pStyle w:val="ListBullet"/>
        <w:keepLines w:val="1"/>
        <w:keepNext w:val="1"/>
        <w:widowControl w:val="1"/>
      </w:pPr>
      <w:r>
        <w:t xml:space="preserve">Mantener la encuesta lo más cercana posible al modelo original para asegurar comparabilidad.  </w:t>
      </w:r>
    </w:p>
    <w:p>
      <w:pPr>
        <w:pStyle w:val="ListBullet"/>
        <w:keepLines w:val="1"/>
        <w:keepNext w:val="1"/>
        <w:widowControl w:val="1"/>
      </w:pPr>
      <w:r>
        <w:t xml:space="preserve">Documentar cualquier adaptación, nueva pregunta o cambio de escala.  </w:t>
      </w:r>
    </w:p>
    <w:p>
      <w:pPr>
        <w:pStyle w:val="ListBullet"/>
        <w:keepLines w:val="1"/>
        <w:keepNext w:val="1"/>
        <w:widowControl w:val="1"/>
      </w:pPr>
      <w:r>
        <w:t xml:space="preserve">Repetir la encuesta con la misma estructura para disponer de series históricas.  </w:t>
      </w:r>
    </w:p>
    <w:p>
      <w:pPr>
        <w:pStyle w:val="ListBullet"/>
        <w:keepLines w:val="1"/>
        <w:widowControl w:val="1"/>
      </w:pPr>
      <w:r>
        <w:t>Integrar los resultados en el ciclo de gestión de riesgos, planificación presupuestaria y seguimiento de proyectos.</w:t>
      </w:r>
    </w:p>
    <w:p>
      <w:pPr>
        <w:pStyle w:val="Heading3"/>
        <w:keepNext/>
        <w:keepLines/>
      </w:pPr>
      <w:r>
        <w:t>9. Licencia y adaptación</w:t>
      </w:r>
    </w:p>
    <w:p>
      <w:r>
        <w:t>Este kit está pensado para ser:</w:t>
      </w:r>
    </w:p>
    <w:p>
      <w:pPr>
        <w:pStyle w:val="ListBullet"/>
        <w:keepLines w:val="1"/>
        <w:keepNext w:val="1"/>
        <w:widowControl w:val="1"/>
      </w:pPr>
      <w:r>
        <w:t xml:space="preserve">Adaptado a contextos organizativos y sectoriales, con el mínimo de cambios.  </w:t>
      </w:r>
    </w:p>
    <w:p>
      <w:pPr>
        <w:pStyle w:val="ListBullet"/>
        <w:keepLines w:val="1"/>
        <w:widowControl w:val="1"/>
      </w:pPr>
      <w:r>
        <w:t xml:space="preserve">Extendido con módulos adicionales si surgen nuevas obligaciones (por ejemplo, desarrollos de NIS2, regulaciones sectoriales, esquemas de ciberseguro).  </w:t>
      </w:r>
    </w:p>
    <w:p>
      <w:r>
        <w:t>Se recomienda mantener siempre:</w:t>
      </w:r>
    </w:p>
    <w:p>
      <w:pPr>
        <w:pStyle w:val="ListBullet"/>
        <w:keepLines w:val="1"/>
        <w:keepNext w:val="1"/>
        <w:widowControl w:val="1"/>
      </w:pPr>
      <w:r>
        <w:t xml:space="preserve">El vínculo con ENS y CCN‑STIC (referencias normativas).  </w:t>
      </w:r>
    </w:p>
    <w:p>
      <w:pPr>
        <w:pStyle w:val="ListBullet"/>
        <w:keepLines w:val="1"/>
        <w:keepNext w:val="1"/>
        <w:widowControl w:val="1"/>
      </w:pPr>
      <w:r>
        <w:t xml:space="preserve">La estructura básica de bloques (gobierno, riesgo, operación, resiliencia, recursos, métricas).  </w:t>
      </w:r>
    </w:p>
    <w:p>
      <w:pPr>
        <w:pStyle w:val="ListBullet"/>
        <w:keepLines w:val="1"/>
        <w:widowControl w:val="1"/>
      </w:pPr>
      <w:r>
        <w:t>La lógica de indicadores y de cálculo de IGM/ROI descrita en la guía metodológica.</w:t>
      </w:r>
    </w:p>
    <w:p>
      <w:pPr>
        <w:pStyle w:val="Heading3"/>
        <w:keepNext/>
        <w:keepLines/>
      </w:pPr>
      <w:r>
        <w:t>10. Y, sobre todo…</w:t>
      </w:r>
    </w:p>
    <w:p>
      <w:r>
        <w:t>Recuerde que este kit no es una varita mágica, pero sí un buen espejo.</w:t>
      </w:r>
      <w:r/>
      <w:r>
        <w:br/>
        <w:t>Su mayor virtud no es generar un número, sino obligar a formular y responder preguntas que, a veces, se han evitado durante demasiado tiempo.</w:t>
      </w:r>
    </w:p>
    <w:p>
      <w:r>
        <w:t>Si tras usarlo surgen conversaciones incómodas pero constructivas, enhorabuena: el ENS, INES, AMPARO y usted están haciendo su trabajo.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