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PASTA+STRIDE</w:t>
      </w:r>
    </w:p>
    <w:p>
      <w:pPr>
        <w:pStyle w:val="Heading2"/>
        <w:keepNext/>
        <w:keepLines/>
      </w:pPr>
      <w:r>
        <w:rPr>
          <w:color w:val="0066CC"/>
        </w:rPr>
        <w:t>Diseño, fundamentación y uso de resultados</w:t>
      </w:r>
    </w:p>
    <w:p>
      <w:pPr>
        <w:pStyle w:val="Heading3"/>
        <w:keepNext/>
        <w:keepLines/>
      </w:pPr>
      <w:r>
        <w:t>1. Propósito general</w:t>
      </w:r>
    </w:p>
    <w:p>
      <w:r>
        <w:t xml:space="preserve">Esta encuesta persigue medir la madurez de las organizaciones en el uso de metodologías de modelado de amenazas (especialmente PASTA y STRIDE) y su integración en la gestión del riesgo cibernético y la resiliencia del negocio.  </w:t>
      </w:r>
    </w:p>
    <w:p>
      <w:r>
        <w:t>Se alinea con:</w:t>
      </w:r>
    </w:p>
    <w:p>
      <w:pPr>
        <w:pStyle w:val="ListBullet"/>
        <w:keepLines w:val="1"/>
        <w:keepNext w:val="1"/>
        <w:widowControl w:val="1"/>
      </w:pPr>
      <w:r>
        <w:t xml:space="preserve">Las mejores prácticas de modelado de amenazas recomendadas en la comunidad internacional (PASTA, STRIDE, SAMM, etc.).[web:18][web:39]  </w:t>
      </w:r>
    </w:p>
    <w:p>
      <w:pPr>
        <w:pStyle w:val="ListBullet"/>
        <w:keepLines w:val="1"/>
        <w:keepNext w:val="1"/>
        <w:widowControl w:val="1"/>
      </w:pPr>
      <w:r>
        <w:t xml:space="preserve">Tendencias de madurez y gobernanza de ciberseguridad observadas en informes de referencia en España (Deloitte, ISMS Forum, etc.).[web:8][web:31][web:37]  </w:t>
      </w:r>
    </w:p>
    <w:p>
      <w:pPr>
        <w:pStyle w:val="ListBullet"/>
        <w:keepLines w:val="1"/>
        <w:widowControl w:val="1"/>
      </w:pPr>
      <w:r>
        <w:t>Requisitos de marcos normativos como NIS2, DORA, ENS y RGPD, que enfatizan el enfoque basado en riesgo y la protección de servicios esenciales.[web:21][web:24][web:27]</w:t>
      </w:r>
    </w:p>
    <w:p>
      <w:pPr>
        <w:pStyle w:val="Heading3"/>
        <w:keepNext/>
        <w:keepLines/>
      </w:pPr>
      <w:r>
        <w:t>2. Estructura conceptual</w:t>
      </w:r>
    </w:p>
    <w:p>
      <w:r>
        <w:t>La encuesta se organiza según las fases de PASTA y la clasificación de amenazas de STRIDE:</w:t>
      </w:r>
    </w:p>
    <w:p>
      <w:pPr>
        <w:pStyle w:val="ListBullet"/>
        <w:keepLines w:val="1"/>
        <w:keepNext w:val="1"/>
        <w:widowControl w:val="1"/>
      </w:pPr>
      <w:r>
        <w:t xml:space="preserve">Fases PASTA: objetivos de negocio, alcance técnico, descomposición, análisis de amenazas, vulnerabilidades, simulación de ataques, análisis de riesgo e impacto.[web:18]  </w:t>
      </w:r>
    </w:p>
    <w:p>
      <w:pPr>
        <w:pStyle w:val="ListBullet"/>
        <w:keepLines w:val="1"/>
        <w:widowControl w:val="1"/>
      </w:pPr>
      <w:r>
        <w:t>STRIDE: Spoofing, Tampering, Repudiation, Information disclosure, Denial of service, Elevation of privilege.[web:18][web:28]</w:t>
      </w:r>
    </w:p>
    <w:p>
      <w:r>
        <w:t>Además, se añaden dimensiones transversales:</w:t>
      </w:r>
    </w:p>
    <w:p>
      <w:pPr>
        <w:pStyle w:val="ListBullet"/>
        <w:keepLines w:val="1"/>
        <w:keepNext w:val="1"/>
        <w:widowControl w:val="1"/>
      </w:pPr>
      <w:r>
        <w:t xml:space="preserve">Gobernanza y alineamiento con negocio.  </w:t>
      </w:r>
    </w:p>
    <w:p>
      <w:pPr>
        <w:pStyle w:val="ListBullet"/>
        <w:keepLines w:val="1"/>
        <w:keepNext w:val="1"/>
        <w:widowControl w:val="1"/>
      </w:pPr>
      <w:r>
        <w:t xml:space="preserve">Zero Trust y cadena de suministro.  </w:t>
      </w:r>
    </w:p>
    <w:p>
      <w:pPr>
        <w:pStyle w:val="ListBullet"/>
        <w:keepLines w:val="1"/>
        <w:keepNext w:val="1"/>
        <w:widowControl w:val="1"/>
      </w:pPr>
      <w:r>
        <w:t xml:space="preserve">Talento, herramientas y automatización.  </w:t>
      </w:r>
    </w:p>
    <w:p>
      <w:pPr>
        <w:pStyle w:val="ListBullet"/>
        <w:keepLines w:val="1"/>
        <w:widowControl w:val="1"/>
      </w:pPr>
      <w:r>
        <w:t>Medición de madurez global y ROI.</w:t>
      </w:r>
    </w:p>
    <w:p>
      <w:pPr>
        <w:pStyle w:val="Heading3"/>
        <w:keepNext/>
        <w:keepLines/>
      </w:pPr>
      <w:r>
        <w:t>3. Diseño de las preguntas</w:t>
      </w:r>
    </w:p>
    <w:p>
      <w:r>
        <w:t>Las preguntas combinan:</w:t>
      </w:r>
    </w:p>
    <w:p>
      <w:pPr>
        <w:pStyle w:val="ListBullet"/>
        <w:keepLines w:val="1"/>
        <w:keepNext w:val="1"/>
        <w:widowControl w:val="1"/>
      </w:pPr>
      <w:r>
        <w:t xml:space="preserve">Preguntas de selección única o múltiple para medir presencia/ausencia y tipos de prácticas.  </w:t>
      </w:r>
    </w:p>
    <w:p>
      <w:pPr>
        <w:pStyle w:val="ListBullet"/>
        <w:keepLines w:val="1"/>
        <w:keepNext w:val="1"/>
        <w:widowControl w:val="1"/>
      </w:pPr>
      <w:r>
        <w:t xml:space="preserve">Escalas de Likert (1–5) para medir grado de madurez o frecuencia.  </w:t>
      </w:r>
    </w:p>
    <w:p>
      <w:pPr>
        <w:pStyle w:val="ListBullet"/>
        <w:keepLines w:val="1"/>
        <w:widowControl w:val="1"/>
      </w:pPr>
      <w:r>
        <w:t>Preguntas abiertas para capturar contexto, fricciones y matices organizativos.</w:t>
      </w:r>
    </w:p>
    <w:p>
      <w:r>
        <w:t>El diseño evita, en la medida de lo posible, preguntas que puedan resolverse con “cumplimos el papel” y obliga a distinguir entre práctica real y documentación formal.</w:t>
      </w:r>
    </w:p>
    <w:p>
      <w:pPr>
        <w:pStyle w:val="Heading3"/>
        <w:keepNext/>
        <w:keepLines/>
      </w:pPr>
      <w:r>
        <w:t>4. Población objetivo y unidad de análisis</w:t>
      </w:r>
    </w:p>
    <w:p>
      <w:pPr>
        <w:pStyle w:val="ListBullet"/>
        <w:keepLines w:val="1"/>
        <w:keepNext w:val="1"/>
        <w:widowControl w:val="1"/>
      </w:pPr>
      <w:r>
        <w:t xml:space="preserve">Población: organizaciones públicas y privadas con actividad en España, con especial interés en aquellas sujetas a regulaciones de ciberseguridad (NIS2, DORA, ENS, sectores críticos).  </w:t>
      </w:r>
    </w:p>
    <w:p>
      <w:pPr>
        <w:pStyle w:val="ListBullet"/>
        <w:keepLines w:val="1"/>
        <w:keepNext w:val="1"/>
        <w:widowControl w:val="1"/>
      </w:pPr>
      <w:r>
        <w:t xml:space="preserve">Respondentes previstos: CISO, responsables de seguridad o de riesgo, personas con visión transversal de TI y negocio.  </w:t>
      </w:r>
    </w:p>
    <w:p>
      <w:pPr>
        <w:pStyle w:val="ListBullet"/>
        <w:keepLines w:val="1"/>
        <w:widowControl w:val="1"/>
      </w:pPr>
      <w:r>
        <w:t>Unidad de análisis: organización como conjunto; opcionalmente, se puede pedir que la respuesta se refiera a un perímetro concreto (grupo, país, unidad de negocio).</w:t>
      </w:r>
    </w:p>
    <w:p>
      <w:pPr>
        <w:pStyle w:val="Heading3"/>
        <w:keepNext/>
        <w:keepLines/>
      </w:pPr>
      <w:r>
        <w:t>5. Escalas de madurez y construcción del Índice Global de Madurez (IGM)</w:t>
      </w:r>
    </w:p>
    <w:p>
      <w:r>
        <w:t>La encuesta está diseñada para alimentar un Índice Global de Madurez (IGM) compuesto por varias subescalas:</w:t>
      </w:r>
    </w:p>
    <w:p>
      <w:pPr>
        <w:pStyle w:val="ListNumber"/>
        <w:keepLines w:val="1"/>
        <w:keepNext w:val="1"/>
        <w:widowControl w:val="1"/>
      </w:pPr>
      <w:r>
        <w:t>Gobernanza y estrategia (GOV)</w:t>
        <w:br/>
        <w:t xml:space="preserve">   Ítems: 2.1.x, 2.2.x, 9.1.x, 9.1.3.  </w:t>
      </w:r>
    </w:p>
    <w:p>
      <w:pPr>
        <w:pStyle w:val="ListNumber"/>
        <w:keepLines w:val="1"/>
        <w:keepNext w:val="1"/>
        <w:widowControl w:val="1"/>
      </w:pPr>
      <w:r>
        <w:t>Cobertura y calidad del modelado de amenazas (TM)</w:t>
        <w:br/>
        <w:t xml:space="preserve">   Ítems: 4.1.x, 5.1.x, 6.1.x, 6.2.x.  </w:t>
      </w:r>
    </w:p>
    <w:p>
      <w:pPr>
        <w:pStyle w:val="ListNumber"/>
        <w:keepLines w:val="1"/>
        <w:keepNext w:val="1"/>
        <w:widowControl w:val="1"/>
      </w:pPr>
      <w:r>
        <w:t>Gestión de vulnerabilidades y simulaciones (VULN/SIM)</w:t>
        <w:br/>
        <w:t xml:space="preserve">   Ítems: 7.1.x, 8.1.x, 8.1.3.  </w:t>
      </w:r>
    </w:p>
    <w:p>
      <w:pPr>
        <w:pStyle w:val="ListNumber"/>
        <w:keepLines w:val="1"/>
        <w:keepNext w:val="1"/>
        <w:widowControl w:val="1"/>
      </w:pPr>
      <w:r>
        <w:t>Integración en riesgo, continuidad y ROI (RISK/ROI)</w:t>
        <w:br/>
        <w:t xml:space="preserve">   Ítems: 9.1.x, 9.1.2, 9.1.4.  </w:t>
      </w:r>
    </w:p>
    <w:p>
      <w:pPr>
        <w:pStyle w:val="ListNumber"/>
        <w:keepLines w:val="1"/>
        <w:widowControl w:val="1"/>
      </w:pPr>
      <w:r>
        <w:t>Capacidades habilitadoras (CAP)</w:t>
        <w:br/>
        <w:t xml:space="preserve">   Ítems: 10.1.x, 11.1.x, 11.1.3, 11.1.4.</w:t>
      </w:r>
    </w:p>
    <w:p>
      <w:r>
        <w:t>Cada subescala puede normalizarse en 0–100 y contribuir al IGM ponderado (ver plantilla de Excel).</w:t>
      </w:r>
    </w:p>
    <w:p>
      <w:pPr>
        <w:pStyle w:val="Heading3"/>
        <w:keepNext/>
        <w:keepLines/>
      </w:pPr>
      <w:r>
        <w:t>6. Lógica de puntuación (visión general)</w:t>
      </w:r>
    </w:p>
    <w:p>
      <w:pPr>
        <w:pStyle w:val="ListBullet"/>
        <w:keepLines w:val="1"/>
        <w:keepNext w:val="1"/>
        <w:widowControl w:val="1"/>
      </w:pPr>
      <w:r>
        <w:t xml:space="preserve">Preguntas en escala 1–5: se transforman linealmente a 0–100.  </w:t>
      </w:r>
    </w:p>
    <w:p>
      <w:pPr>
        <w:pStyle w:val="ListBullet"/>
        <w:keepLines w:val="1"/>
        <w:keepNext w:val="1"/>
        <w:widowControl w:val="1"/>
      </w:pPr>
      <w:r>
        <w:t xml:space="preserve">Preguntas categóricas: se asignan valores ordinales (p. ej. “Sí, plena” = 100; “No” = 0; “En fase” = valores intermedios).  </w:t>
      </w:r>
    </w:p>
    <w:p>
      <w:pPr>
        <w:pStyle w:val="ListBullet"/>
        <w:keepLines w:val="1"/>
        <w:widowControl w:val="1"/>
      </w:pPr>
      <w:r>
        <w:t xml:space="preserve">Preguntas abiertas: no puntúan, pero informan interpretación cualitativa y pueden alimentar análisis temático.  </w:t>
      </w:r>
    </w:p>
    <w:p>
      <w:r>
        <w:t>Se recomienda documentar las reglas de puntuación en un anexo técnico y mantenerlas estables para comparaciones longitudinales.</w:t>
      </w:r>
    </w:p>
    <w:p>
      <w:pPr>
        <w:pStyle w:val="Heading3"/>
        <w:keepNext/>
        <w:keepLines/>
      </w:pPr>
      <w:r>
        <w:t>7. Recolección de datos y garantías de calidad</w:t>
      </w:r>
    </w:p>
    <w:p>
      <w:pPr>
        <w:pStyle w:val="ListBullet"/>
        <w:keepLines w:val="1"/>
        <w:keepNext w:val="1"/>
        <w:widowControl w:val="1"/>
      </w:pPr>
      <w:r>
        <w:t xml:space="preserve">Canal: plataforma online, formulario seguro o herramienta GRC.  </w:t>
      </w:r>
    </w:p>
    <w:p>
      <w:pPr>
        <w:pStyle w:val="ListBullet"/>
        <w:keepLines w:val="1"/>
        <w:keepNext w:val="1"/>
        <w:widowControl w:val="1"/>
      </w:pPr>
      <w:r>
        <w:t xml:space="preserve">Duración estimada: 20–30 minutos para respondentes familiarizados con ciberseguridad.  </w:t>
      </w:r>
    </w:p>
    <w:p>
      <w:pPr>
        <w:pStyle w:val="ListBullet"/>
        <w:keepLines w:val="1"/>
        <w:keepNext w:val="1"/>
        <w:widowControl w:val="1"/>
      </w:pPr>
      <w:r>
        <w:t xml:space="preserve">Anonimización: en análisis comparativos (benchmark), anonimizar nombres de organizaciones y detalles identificables.  </w:t>
      </w:r>
    </w:p>
    <w:p>
      <w:pPr>
        <w:pStyle w:val="ListBullet"/>
        <w:keepLines w:val="1"/>
        <w:widowControl w:val="1"/>
      </w:pPr>
      <w:r>
        <w:t>Validación: revisar respuestas inconsistentes (p. ej. declarar “no hacemos modelado” y, a la vez, contestar extensamente a secciones muy técnicas).</w:t>
      </w:r>
    </w:p>
    <w:p>
      <w:pPr>
        <w:pStyle w:val="Heading3"/>
        <w:keepNext/>
        <w:keepLines/>
      </w:pPr>
      <w:r>
        <w:t>8. Interpretación de resultados</w:t>
      </w:r>
    </w:p>
    <w:p>
      <w:r>
        <w:t xml:space="preserve">El IGM y sus subíndices no son un juicio moral, sino un mapa.  </w:t>
      </w:r>
    </w:p>
    <w:p>
      <w:r>
        <w:t>Algunos ejemplos de lectura:</w:t>
      </w:r>
    </w:p>
    <w:p>
      <w:pPr>
        <w:pStyle w:val="ListBullet"/>
        <w:keepLines w:val="1"/>
        <w:keepNext w:val="1"/>
        <w:widowControl w:val="1"/>
      </w:pPr>
      <w:r>
        <w:t xml:space="preserve">Una organización con GOV alto y TM bajo suele tener buena intención estratégica, pero poco aterrizaje técnico: un clásico.  </w:t>
      </w:r>
    </w:p>
    <w:p>
      <w:pPr>
        <w:pStyle w:val="ListBullet"/>
        <w:keepLines w:val="1"/>
        <w:keepNext w:val="1"/>
        <w:widowControl w:val="1"/>
      </w:pPr>
      <w:r>
        <w:t xml:space="preserve">Una organización con SIM alto y RISK/ROI bajo tiende a realizar ejercicios interesantes cuyo impacto en decisiones de negocio es mínimo (teatro de seguridad).  </w:t>
      </w:r>
    </w:p>
    <w:p>
      <w:pPr>
        <w:pStyle w:val="ListBullet"/>
        <w:keepLines w:val="1"/>
        <w:widowControl w:val="1"/>
      </w:pPr>
      <w:r>
        <w:t>Niveles bajos en CAP suelen indicar que la organización se sostiene sobre héroes individuales y hojas de cálculo, lo cual no escala ni en número ni en resiliencia.</w:t>
      </w:r>
    </w:p>
    <w:p>
      <w:pPr>
        <w:pStyle w:val="Heading3"/>
        <w:keepNext/>
        <w:keepLines/>
      </w:pPr>
      <w:r>
        <w:t>9. Comparación con estudios e índices existentes</w:t>
      </w:r>
    </w:p>
    <w:p>
      <w:r>
        <w:t>La estructura de madurez puede compararse con:</w:t>
      </w:r>
    </w:p>
    <w:p>
      <w:pPr>
        <w:pStyle w:val="ListBullet"/>
        <w:keepLines w:val="1"/>
        <w:keepNext w:val="1"/>
        <w:widowControl w:val="1"/>
      </w:pPr>
      <w:r>
        <w:t xml:space="preserve">Indicadores de madurez en ciberseguridad publicados por ISMS Forum (niveles Básico, Intermedio, Avanzado) y su evolución en España.[web:31][web:33]  </w:t>
      </w:r>
    </w:p>
    <w:p>
      <w:pPr>
        <w:pStyle w:val="ListBullet"/>
        <w:keepLines w:val="1"/>
        <w:keepNext w:val="1"/>
        <w:widowControl w:val="1"/>
      </w:pPr>
      <w:r>
        <w:t xml:space="preserve">Estudios internacionales de preparación en ciberseguridad que muestran que sólo una minoría de organizaciones alcanzan niveles “maduros”.[web:38][web:40]  </w:t>
      </w:r>
    </w:p>
    <w:p>
      <w:pPr>
        <w:pStyle w:val="ListBullet"/>
        <w:keepLines w:val="1"/>
        <w:widowControl w:val="1"/>
      </w:pPr>
      <w:r>
        <w:t>Informes sectoriales sobre gobernanza y alineamiento de negocio y seguridad.[web:8][web:37]</w:t>
      </w:r>
    </w:p>
    <w:p>
      <w:pPr>
        <w:pStyle w:val="Heading3"/>
        <w:keepNext/>
        <w:keepLines/>
      </w:pPr>
      <w:r>
        <w:t>10. Uso estratégico del instrumento</w:t>
      </w:r>
    </w:p>
    <w:p>
      <w:r>
        <w:t>A nivel macro (gobierno, asociaciones, reguladores):</w:t>
      </w:r>
    </w:p>
    <w:p>
      <w:pPr>
        <w:pStyle w:val="ListBullet"/>
        <w:keepLines w:val="1"/>
        <w:keepNext w:val="1"/>
        <w:widowControl w:val="1"/>
      </w:pPr>
      <w:r>
        <w:t xml:space="preserve">Medir la penetración real de prácticas de modelado de amenazas en el tejido empresarial.  </w:t>
      </w:r>
    </w:p>
    <w:p>
      <w:pPr>
        <w:pStyle w:val="ListBullet"/>
        <w:keepLines w:val="1"/>
        <w:widowControl w:val="1"/>
      </w:pPr>
      <w:r>
        <w:t>Identificar sectores con brechas significativas y orientar ayudas, formación y regulación.</w:t>
      </w:r>
    </w:p>
    <w:p>
      <w:r>
        <w:t>A nivel micro (organizaciones individuales):</w:t>
      </w:r>
    </w:p>
    <w:p>
      <w:pPr>
        <w:pStyle w:val="ListBullet"/>
        <w:keepLines w:val="1"/>
        <w:keepNext w:val="1"/>
        <w:widowControl w:val="1"/>
      </w:pPr>
      <w:r>
        <w:t xml:space="preserve">Priorizar inversiones (herramientas, talento, automatización) en función de brechas de madurez.  </w:t>
      </w:r>
    </w:p>
    <w:p>
      <w:pPr>
        <w:pStyle w:val="ListBullet"/>
        <w:keepLines w:val="1"/>
        <w:keepNext w:val="1"/>
        <w:widowControl w:val="1"/>
      </w:pPr>
      <w:r>
        <w:t xml:space="preserve">Conectar de forma argumentada el presupuesto de ciberseguridad con impacto en riesgo y resiliencia.  </w:t>
      </w:r>
    </w:p>
    <w:p>
      <w:pPr>
        <w:pStyle w:val="ListBullet"/>
        <w:keepLines w:val="1"/>
        <w:widowControl w:val="1"/>
      </w:pPr>
      <w:r>
        <w:t>Alimentar cuadros de mando y reportes a la Alta Dirección y al Consejo.</w:t>
      </w:r>
    </w:p>
    <w:p>
      <w:pPr>
        <w:pStyle w:val="Heading3"/>
        <w:keepNext/>
        <w:keepLines/>
      </w:pPr>
      <w:r>
        <w:t>11. Limitaciones y precauciones</w:t>
      </w:r>
    </w:p>
    <w:p>
      <w:pPr>
        <w:pStyle w:val="ListBullet"/>
        <w:keepLines w:val="1"/>
        <w:keepNext w:val="1"/>
        <w:widowControl w:val="1"/>
      </w:pPr>
      <w:r>
        <w:t xml:space="preserve">Es un instrumento de auto-reporte: propenso al optimismo antropológico. Se recomienda contrastar resultados con auditorías y evidencias.  </w:t>
      </w:r>
    </w:p>
    <w:p>
      <w:pPr>
        <w:pStyle w:val="ListBullet"/>
        <w:keepLines w:val="1"/>
        <w:keepNext w:val="1"/>
        <w:widowControl w:val="1"/>
      </w:pPr>
      <w:r>
        <w:t xml:space="preserve">No sustituye a evaluaciones técnicas ni a análisis forense de incidentes, pero ayuda a prevenirlos.  </w:t>
      </w:r>
    </w:p>
    <w:p>
      <w:pPr>
        <w:pStyle w:val="ListBullet"/>
        <w:keepLines w:val="1"/>
        <w:widowControl w:val="1"/>
      </w:pPr>
      <w:r>
        <w:t>El exceso de cinismo puede llevar a infravalorar la utilidad de medir; el exceso de complacencia, a sobrevalorar números que no se corresponden con la realidad operativa.</w:t>
      </w:r>
    </w:p>
    <w:p>
      <w:r>
        <w:t>Fin de la guía. No hace milagros, pero ayuda a que los milagros que se atribuyen a la “suerte” tengan algo más que ver con el trabajo bien hecho.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