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GQM + Métricas PASTA+STRIDE a Requisitos Normativos</w:t>
      </w:r>
    </w:p>
    <w:p>
      <w:r>
        <w:t>Nota: mapeo orientativo, centrado en España y marcos europeos (NIS2, ENS, DORA, España Digital, etc.).[web:21][web:24][web:27][web:30]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 GQM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Normas / Estrategias relacionadas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G1 – Proteger infraestructuras y servicios esenciales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M1.1 – % OSE con Threat Modeling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(gestión basada en riesgo), Plan Nacional de Ciberseguridad, ENS (análisis de riesgos) [web:21][web:27]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La adopción de Threat Modeling apoya el deber de gestionar riesgos y proteger servicios esenciales.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G1, G2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M1.2 – % OSE con revisión anual de modelos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NIS2, ENS (revisión periódica), ISO 27001 (mejora continua) [web:21][web:27]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Refuerza la necesidad de gestión continua del riesgo, no sólo análisis puntual.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M1.3 – % proyectos críticos con Threat Modeling en diseño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España Digital 2025 (desarrollo seguro), guías de desarrollo seguro, OWASP SAMM [web:27][web:39]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Alinea el diseño de servicios digitales con seguridad por diseño.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M2.1.x – Incidentes STRIDE por año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(notificación de incidentes), Plan Nacional, Ciberestrategias sectoriales [web:21][web:53][web:56]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Permite evaluar cumplimiento de deberes de notificación y efectividad de medidas.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M2.2.x – Tasa de incidentes STRIDE por sector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(operadores esenciales por sector), estrategias sectoriales (energía, salud, finanzas) [web:21][web:27]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Apoya análisis sectoriales exigidos y priorización de acciones.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M2.3.x – Tendencia anual incidentes STRIDE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Plan Nacional de Ciberseguridad, indicadores de desempeño [web:21]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Facilita evaluación longitudinal del impacto de las políticas.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G1, G3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M3.1 – % OSE con ≥1 ejercicio anual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(pruebas y ejercicios), ENISA recomendaciones de cibercrisis [web:21][web:24]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Da medida de cumplimiento de prácticas de ensayo de respuesta.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G1, G3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M3.2 – Nº medio de sistemas cubiertos en ejercicios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Planes de cibercrisis nacionales, ENS (continuidad) [web:21][web:27]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Evalúa profundidad de los ejercicios más allá del mero “tick de cumplimiento”.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M3.3 – % ejercicios con planes de acción implementados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27001 (gestión de incidentes y acciones de mejora), ENS [web:27]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Demuestra la traducción de ejercicios a mejoras reales.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G1, G3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M4.1 – MTTR crítico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(minimizar impacto), planes de continuidad y recuperación, ENS [web:21][web:27]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Métrica clave de resiliencia exigida implícitamente en requisitos de continuidad.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M4.2 – Distribución MTTR por sector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Estrategias sectoriales de resiliencia, NCS Index [web:53][web:56]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Permite a reguladores sectoriales comparar desempeño.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G2, G3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M4.3 – Correlación MTTR vs. madurez Threat Modeling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Plan Nacional, España Digital (madurez de capacidades) [web:21][web:27][web:30]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Apoya la tesis de que la madurez técnica reduce impacto operativo.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G2, G4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M5.1 – % entidades que integran Threat Modeling en riesgo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(gestión de riesgos en órgano de dirección), DORA (riesgo TIC integrado), ENS [web:21][web:24][web:27]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Mide si la seguridad técnica y la gestión de riesgo corporativo hablan entre sí.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M5.2 – % entidades que vinculan PASTA con continuidad y ejercicios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(análisis de impacto en negocio, continuidad), NIS2 [web:21][web:27]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Refleja el grado de integración entre análisis preventivo y respuesta.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G4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M5.3 – % entidades que usan Threat Modeling para ROI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DORA (evaluación económica del riesgo TIC), marcos de reporting financiero [web:24]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Conecta ciberseguridad con la gestión financiera exigida regulatoriamente.</w:t>
            </w:r>
          </w:p>
        </w:tc>
      </w:tr>
    </w:tbl>
    <w:p/>
    <w:p>
      <w:r>
        <w:t>Este mapeo puede servir como base para anexos en estrategias nacionales, guías de INCIBE/CCN y documentación de cumplimiento de operadores esenciales.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