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a Requisitos Normativos y Marcos de Referencia</w:t>
      </w:r>
    </w:p>
    <w:p>
      <w:r>
        <w:t>Nota: Este mapeo es orientativo. Debe revisarse y adaptarse a cada sector y jurisdicción concreta.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 PASTA / STRIDE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Normas / Marcos relacionados (ejemplos)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Estrategia formal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1 (negocio)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(gobernanza y responsabilidad de la alta dirección), ENS (política de seguridad), ISO 27001 (A.5, organización de seguridad) [web:21][web:27]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Información periódica a la Alta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(supervisión del riesgo cibernético por el órgano de dirección), DORA (gobernanza del riesgo TIC), buenas prácticas de Deloitte/ISMS Forum [web:8][web:21][web:31]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Comités ciberseguridad–negocio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NIS2, DORA, ISO 27001 (A.5), directrices de gobernanza corporativa [web:8][web:21]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Referencia explícita a modelado de amenazas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PASTA global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OWASP SAMM (práctica de Threat Modeling), buenas prácticas de NIST y guías de modelado de amenazas [web:18][web:39]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Revisión periódica de modelos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PASTA 4–6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Ciclo de mejora continua ISO 27001, ENS (revisión periódica), NIS2 (gestión continua del riesgo) [web:21][web:27]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Objetivos de negocio vinculados a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NIS2, DORA (impacto operacional), ISO 27005 (contexto y criterios de riesgo) [web:21][web:24]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Mapeo a impactos de negocio cuantificables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27005, metodologías de riesgo, mejores prácticas de reporting a dirección [web:8][web:31]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 de requisitos normativos en modelos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1–4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NIS2, DORA, RGPD (art. 32), ENS (análisis de riesgo), regulaciones sectoriales [web:21][web:24][web:27]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de activos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(A.5, A.8), ENS (inventario de activos), NIS2 (activos esenciales) [web:21][web:27]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de modelos sobre activos críticos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2–4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de gestión de riesgo (ISO 27005), OWASP SAMM [web:18][web:39]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Documentación de arquitectura y flujos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2–3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NIST, OWASP Threat Modeling, ENS (documentación de sistemas) [web:18][web:39]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DFDs y límites de confianza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STRIDE, OWASP Threat Modeling, SAMM [web:18][web:28][web:39]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Identificación de trust boundaries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STRIDE, Zero Trust (NIST SP 800-207), marcos Zero Trust sectoriales [web:12][web:28]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Metodologías utilizadas (PASTA, STRIDE, etc.)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OWASP SAMM (Threat Modeling), prácticas de modelado reconocidas [web:18][web:39]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Momento del ciclo de vida para Threat Modeling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DevSecOps, SDLC seguro, OWASP Software Assurance [web:18][web:39]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modelado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Mejora continua ISO 27001, ENS, NIS2 [web:21][web:27]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6.2.x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Preguntas por categoría STRIDE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STRIDE, OWASP, controles asociados (identidad, integridad, logging, confidencialidad, disponibilidad, privilegios) [web:18][web:28][web:39]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Vinculación amenazas–vulnerabilidades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(A.12), procesos de gestión de vulnerabilidades, guías de Threat Modeling [web:18][web:39]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de cierre de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SLAs internos, recomendaciones de NIST/ENISA sobre tiempos de remediación [web:18]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CVSS u otros métodos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5–7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CVSS, ISO 27005, marcos GRC [web:18]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Simulaciones de ataque (red teaming, etc.)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Ejercicios de cibercrisis, recomendaciones ENISA y NIS2 [web:21][web:24]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de simulaciones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de resiliencia, cibercrisis nacionales [web:21]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Documentación de lecciones aprendidas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6–7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incidentes, mejora continua (ISO 27001 A.16) [web:21][web:27]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 de resultados en metodología de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27005, NIS2 (gestión basada en riesgo), ENS [web:21][web:27]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Cuantificación económica del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Prácticas de análisis cuantitativo de riesgo, DORA (impacto financiero) [web:24]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IGM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Indicadores de madurez (ISMS Forum, Cisco, etc.) [web:31][web:38][web:40]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9.1.4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Medición de ROI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de negocio de ciberseguridad, reporting a consejos [web:8]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Estrategia Zero Trust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transversal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SP 800-207, estrategias Zero Trust nacionales, marcos de referencia industriales [web:12]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Threat Modeling de terceros y cadena de suministro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 2–4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(gestión de terceros), DORA (terceros TIC), recomendaciones ENISA [web:21][web:24]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11.1.1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Recursos humanos dedicados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Indicadores de madurez y capacidades (ISMS Forum, Cisco) [web:31][web:38]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11.1.2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de especialización en PASTA/STRIDE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Demandas de capacidades en ciberseguridad (estrategias nacionales, Digital Spain 2025) [web:24][web:30]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11.1.3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herramientas específicas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OWASP SAMM, madurez de prácticas de Threat Modeling [web:18][web:39]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11.1.4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Automatización del Threat Modeling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CAP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DevSecOps, prácticas avanzadas de seguridad, integración CI/CD [web:18][web:39]</w:t>
            </w:r>
          </w:p>
        </w:tc>
      </w:tr>
    </w:tbl>
    <w:p/>
    <w:p>
      <w:r>
        <w:t>Este mapeo puede ampliarse con referencias específicas de cada sector (financiero, sanitario, energético, etc.) y de guías de autoridades nacionales como INCIBE y CCN-CERT.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