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</w:t>
      </w:r>
    </w:p>
    <w:p>
      <w:pPr>
        <w:pStyle w:val="Heading2"/>
        <w:keepNext/>
        <w:keepLines/>
      </w:pPr>
      <w:r>
        <w:rPr>
          <w:color w:val="0066CC"/>
        </w:rPr>
        <w:t>Diseño lógico para implementación en hoja de cálculo</w:t>
      </w:r>
    </w:p>
    <w:p>
      <w:r>
        <w:t>Este documento describe cómo estructurar una hoja Excel (o equivalente) para calcular:</w:t>
      </w:r>
    </w:p>
    <w:p>
      <w:pPr>
        <w:pStyle w:val="ListBullet"/>
        <w:keepLines w:val="1"/>
        <w:keepNext w:val="1"/>
        <w:widowControl w:val="1"/>
      </w:pPr>
      <w:r>
        <w:t xml:space="preserve">Un Índice Global de Madurez (IGM) en modelado de amenazas y gestión de riesgo.  </w:t>
      </w:r>
    </w:p>
    <w:p>
      <w:pPr>
        <w:pStyle w:val="ListBullet"/>
        <w:keepLines w:val="1"/>
        <w:widowControl w:val="1"/>
      </w:pPr>
      <w:r>
        <w:t>Indicadores simples de ROI o “valor financiero estimado” de las mejoras.</w:t>
      </w:r>
    </w:p>
    <w:p>
      <w:pPr>
        <w:pStyle w:val="Heading3"/>
        <w:keepNext/>
        <w:keepLines/>
      </w:pPr>
      <w:r>
        <w:t>1. Estructura de pestañas</w:t>
      </w:r>
    </w:p>
    <w:p>
      <w:r>
        <w:t>Se recomiendan, al menos, las siguientes hojas:</w:t>
      </w:r>
    </w:p>
    <w:p>
      <w:pPr>
        <w:pStyle w:val="ListNumber"/>
        <w:keepLines w:val="1"/>
        <w:keepNext w:val="1"/>
        <w:widowControl w:val="1"/>
      </w:pPr>
      <w:r>
        <w:t xml:space="preserve">RESPUESTAS </w:t>
      </w:r>
    </w:p>
    <w:p>
      <w:pPr>
        <w:pStyle w:val="ListNumber"/>
        <w:keepLines w:val="1"/>
        <w:keepNext w:val="1"/>
        <w:widowControl w:val="1"/>
      </w:pPr>
      <w:r>
        <w:t xml:space="preserve">PONDERACIONES </w:t>
      </w:r>
    </w:p>
    <w:p>
      <w:pPr>
        <w:pStyle w:val="ListNumber"/>
        <w:keepLines w:val="1"/>
        <w:keepNext w:val="1"/>
        <w:widowControl w:val="1"/>
      </w:pPr>
      <w:r>
        <w:t xml:space="preserve">CALCULOS_IGM </w:t>
      </w:r>
    </w:p>
    <w:p>
      <w:pPr>
        <w:pStyle w:val="ListNumber"/>
        <w:keepLines w:val="1"/>
        <w:keepNext w:val="1"/>
        <w:widowControl w:val="1"/>
      </w:pPr>
      <w:r>
        <w:t xml:space="preserve">ROI </w:t>
      </w:r>
    </w:p>
    <w:p>
      <w:pPr>
        <w:pStyle w:val="ListNumber"/>
        <w:keepLines w:val="1"/>
        <w:widowControl w:val="1"/>
      </w:pPr>
      <w:r>
        <w:t>GLOSARIO</w:t>
      </w:r>
    </w:p>
    <w:p>
      <w:pPr>
        <w:pStyle w:val="Heading3"/>
        <w:keepNext/>
        <w:keepLines/>
      </w:pPr>
      <w:r>
        <w:t>2. Hoja RESPUESTAS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A: ID_Organizacion  </w:t>
      </w:r>
    </w:p>
    <w:p>
      <w:pPr>
        <w:pStyle w:val="ListBullet"/>
        <w:keepLines w:val="1"/>
        <w:keepNext w:val="1"/>
        <w:widowControl w:val="1"/>
      </w:pPr>
      <w:r>
        <w:t xml:space="preserve">B: Fecha_Respuesta  </w:t>
      </w:r>
    </w:p>
    <w:p>
      <w:pPr>
        <w:pStyle w:val="ListBullet"/>
        <w:keepLines w:val="1"/>
        <w:keepNext w:val="1"/>
        <w:widowControl w:val="1"/>
      </w:pPr>
      <w:r>
        <w:t xml:space="preserve">C: Sector  </w:t>
      </w:r>
    </w:p>
    <w:p>
      <w:pPr>
        <w:pStyle w:val="ListBullet"/>
        <w:keepLines w:val="1"/>
        <w:keepNext w:val="1"/>
        <w:widowControl w:val="1"/>
      </w:pPr>
      <w:r>
        <w:t xml:space="preserve">D: Tamaño  </w:t>
      </w:r>
    </w:p>
    <w:p>
      <w:pPr>
        <w:pStyle w:val="ListBullet"/>
        <w:keepLines w:val="1"/>
        <w:keepNext w:val="1"/>
        <w:widowControl w:val="1"/>
      </w:pPr>
      <w:r>
        <w:t xml:space="preserve">E: Campo_Pregunta (ej. 2.1.1)  </w:t>
      </w:r>
    </w:p>
    <w:p>
      <w:pPr>
        <w:pStyle w:val="ListBullet"/>
        <w:keepLines w:val="1"/>
        <w:widowControl w:val="1"/>
      </w:pPr>
      <w:r>
        <w:t xml:space="preserve">F: Valor_Respuesta (numérico o codificado)  </w:t>
      </w:r>
    </w:p>
    <w:p>
      <w:r>
        <w:t>Opcionalmente, se puede estructurar cada organización en una sola fila con columnas por pregunta, pero la estructura por filas es más flexible para análisis.</w:t>
      </w:r>
    </w:p>
    <w:p>
      <w:pPr>
        <w:pStyle w:val="Heading3"/>
        <w:keepNext/>
        <w:keepLines/>
      </w:pPr>
      <w:r>
        <w:t>3. Hoja PONDERACIONES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Campo_Pregunta (ej. 2.1.1)  </w:t>
      </w:r>
    </w:p>
    <w:p>
      <w:pPr>
        <w:pStyle w:val="ListBullet"/>
        <w:keepLines w:val="1"/>
        <w:keepNext w:val="1"/>
        <w:widowControl w:val="1"/>
      </w:pPr>
      <w:r>
        <w:t xml:space="preserve">B: Dimension (GOV, TM, VULN_SIM, RISK_ROI, CAP)  </w:t>
      </w:r>
    </w:p>
    <w:p>
      <w:pPr>
        <w:pStyle w:val="ListBullet"/>
        <w:keepLines w:val="1"/>
        <w:keepNext w:val="1"/>
        <w:widowControl w:val="1"/>
      </w:pPr>
      <w:r>
        <w:t xml:space="preserve">C: Peso_en_dimension (0–1, suma = 1 por dimensión)  </w:t>
      </w:r>
    </w:p>
    <w:p>
      <w:pPr>
        <w:pStyle w:val="ListBullet"/>
        <w:keepLines w:val="1"/>
        <w:keepNext w:val="1"/>
        <w:widowControl w:val="1"/>
      </w:pPr>
      <w:r>
        <w:t xml:space="preserve">D: Tipo_Pregunta (Likert, Categórica, Binaria)  </w:t>
      </w:r>
    </w:p>
    <w:p>
      <w:pPr>
        <w:pStyle w:val="ListBullet"/>
        <w:keepLines w:val="1"/>
        <w:widowControl w:val="1"/>
      </w:pPr>
      <w:r>
        <w:t xml:space="preserve">E: Mapeo_Respuesta_a_0_100 (texto describiendo la regla)  </w:t>
      </w:r>
    </w:p>
    <w:p>
      <w:r>
        <w:t>Ejemplo de reglas de mapeo:</w:t>
      </w:r>
    </w:p>
    <w:p>
      <w:pPr>
        <w:pStyle w:val="ListBullet"/>
        <w:keepLines w:val="1"/>
        <w:keepNext w:val="1"/>
        <w:widowControl w:val="1"/>
      </w:pPr>
      <w:r>
        <w:t xml:space="preserve">Likert 1–5 -&gt; 0, 25, 50, 75, 100  </w:t>
      </w:r>
    </w:p>
    <w:p>
      <w:pPr>
        <w:pStyle w:val="ListBullet"/>
        <w:keepLines w:val="1"/>
        <w:keepNext w:val="1"/>
        <w:widowControl w:val="1"/>
      </w:pPr>
      <w:r>
        <w:t xml:space="preserve">Categórica (p.ej. “pleno”, “parcial”, “no”):  </w:t>
      </w:r>
    </w:p>
    <w:p>
      <w:pPr>
        <w:pStyle w:val="ListBullet"/>
        <w:keepLines w:val="1"/>
        <w:keepNext w:val="1"/>
        <w:widowControl w:val="1"/>
      </w:pPr>
      <w:r>
        <w:t xml:space="preserve">Pleno = 100  </w:t>
      </w:r>
    </w:p>
    <w:p>
      <w:pPr>
        <w:pStyle w:val="ListBullet"/>
        <w:keepLines w:val="1"/>
        <w:keepNext w:val="1"/>
        <w:widowControl w:val="1"/>
      </w:pPr>
      <w:r>
        <w:t xml:space="preserve">Parcial = 60  </w:t>
      </w:r>
    </w:p>
    <w:p>
      <w:pPr>
        <w:pStyle w:val="ListBullet"/>
        <w:keepLines w:val="1"/>
        <w:keepNext w:val="1"/>
        <w:widowControl w:val="1"/>
      </w:pPr>
      <w:r>
        <w:t xml:space="preserve">En elaboración = 40  </w:t>
      </w:r>
    </w:p>
    <w:p>
      <w:pPr>
        <w:pStyle w:val="ListBullet"/>
        <w:keepLines w:val="1"/>
        <w:widowControl w:val="1"/>
      </w:pPr>
      <w:r>
        <w:t xml:space="preserve">No = 0  </w:t>
      </w:r>
    </w:p>
    <w:p>
      <w:pPr>
        <w:pStyle w:val="Heading3"/>
        <w:keepNext/>
        <w:keepLines/>
      </w:pPr>
      <w:r>
        <w:t>4. Hoja CALCULOS_IGM</w:t>
      </w:r>
    </w:p>
    <w:p>
      <w:r>
        <w:t>Para cada organización:</w:t>
      </w:r>
    </w:p>
    <w:p>
      <w:pPr>
        <w:pStyle w:val="ListBullet"/>
        <w:keepLines w:val="1"/>
        <w:keepNext w:val="1"/>
        <w:widowControl w:val="1"/>
      </w:pPr>
      <w:r>
        <w:t xml:space="preserve">Calcular puntuación normalizada por pregunta: Punt_Pregunta = Valor_Normalizado_0_100.  </w:t>
      </w:r>
    </w:p>
    <w:p>
      <w:pPr>
        <w:pStyle w:val="ListBullet"/>
        <w:keepLines w:val="1"/>
        <w:keepNext w:val="1"/>
        <w:widowControl w:val="1"/>
      </w:pPr>
      <w:r>
        <w:br/>
        <w:t>Calcular subíndices: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GOV = SUMA(Punt_Pregunta * Peso_en_dimension) para todas las preguntas GOV.  </w:t>
        <w:br/>
      </w:r>
    </w:p>
    <w:p>
      <w:pPr>
        <w:pStyle w:val="ListBullet"/>
        <w:keepLines w:val="1"/>
        <w:keepNext w:val="1"/>
        <w:widowControl w:val="1"/>
      </w:pPr>
      <w:r>
        <w:br/>
        <w:t>Igual para TM, VULN_SIM, RISK_ROI, CAP.</w:t>
        <w:br/>
      </w:r>
    </w:p>
    <w:p>
      <w:pPr>
        <w:pStyle w:val="ListBullet"/>
        <w:keepLines w:val="1"/>
        <w:widowControl w:val="1"/>
      </w:pPr>
      <w:r>
        <w:br/>
        <w:t>Calcular IGM:</w:t>
        <w:br/>
      </w:r>
    </w:p>
    <w:p>
      <w:r>
        <w:t>Calcular subíndices:</w:t>
      </w:r>
    </w:p>
    <w:p>
      <w:r>
        <w:rPr>
          <w:rFonts w:ascii="Courier New" w:hAnsi="Courier New"/>
          <w:sz w:val="18"/>
        </w:rPr>
        <w:t>GOV = SUMA(Punt_Pregunta * Peso_en_dimension) para todas las preguntas GOV</w:t>
      </w:r>
      <w:r>
        <w:t xml:space="preserve">.  </w:t>
      </w:r>
    </w:p>
    <w:p>
      <w:r>
        <w:t xml:space="preserve">Igual para </w:t>
      </w:r>
      <w:r>
        <w:rPr>
          <w:rFonts w:ascii="Courier New" w:hAnsi="Courier New"/>
          <w:sz w:val="18"/>
        </w:rPr>
        <w:t>TM</w:t>
      </w:r>
      <w:r>
        <w:t xml:space="preserve">, </w:t>
      </w:r>
      <w:r>
        <w:rPr>
          <w:rFonts w:ascii="Courier New" w:hAnsi="Courier New"/>
          <w:sz w:val="18"/>
        </w:rPr>
        <w:t>VULN_SIM</w:t>
      </w:r>
      <w:r>
        <w:t xml:space="preserve">, </w:t>
      </w:r>
      <w:r>
        <w:rPr>
          <w:rFonts w:ascii="Courier New" w:hAnsi="Courier New"/>
          <w:sz w:val="18"/>
        </w:rPr>
        <w:t>RISK_ROI</w:t>
      </w:r>
      <w:r>
        <w:t xml:space="preserve">, </w:t>
      </w:r>
      <w:r>
        <w:rPr>
          <w:rFonts w:ascii="Courier New" w:hAnsi="Courier New"/>
          <w:sz w:val="18"/>
        </w:rPr>
        <w:t>CAP</w:t>
      </w:r>
      <w:r>
        <w:t>.</w:t>
      </w:r>
    </w:p>
    <w:p>
      <w:r>
        <w:t>Calcular IGM: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(GOV * w_GOV) + (TM * w_TM) + (VULN_SIM * w_VS) + (RISK_ROI * w_RR) + (CAP * w_CAP)</w:t>
        <w:br/>
      </w:r>
    </w:p>
    <w:p>
      <w:r>
        <w:t>Donde:</w:t>
      </w:r>
    </w:p>
    <w:p>
      <w:pPr>
        <w:pStyle w:val="ListBullet"/>
        <w:keepLines w:val="1"/>
        <w:keepNext w:val="1"/>
        <w:widowControl w:val="1"/>
      </w:pPr>
      <w:r>
        <w:t xml:space="preserve">w_GOV, w_TM, w_VS, w_RR, w_CAP ∈ [0,1] y su suma = 1.  </w:t>
      </w:r>
    </w:p>
    <w:p>
      <w:pPr>
        <w:pStyle w:val="ListBullet"/>
        <w:keepLines w:val="1"/>
        <w:keepNext w:val="1"/>
        <w:widowControl w:val="1"/>
      </w:pPr>
      <w:r>
        <w:t xml:space="preserve">Ejemplo inicial (ajustable):  </w:t>
      </w:r>
    </w:p>
    <w:p>
      <w:pPr>
        <w:pStyle w:val="ListBullet"/>
        <w:keepLines w:val="1"/>
        <w:keepNext w:val="1"/>
        <w:widowControl w:val="1"/>
      </w:pPr>
      <w:r>
        <w:t xml:space="preserve">w_GOV = 0,20  </w:t>
      </w:r>
    </w:p>
    <w:p>
      <w:pPr>
        <w:pStyle w:val="ListBullet"/>
        <w:keepLines w:val="1"/>
        <w:keepNext w:val="1"/>
        <w:widowControl w:val="1"/>
      </w:pPr>
      <w:r>
        <w:t xml:space="preserve">w_TM = 0,30  </w:t>
      </w:r>
    </w:p>
    <w:p>
      <w:pPr>
        <w:pStyle w:val="ListBullet"/>
        <w:keepLines w:val="1"/>
        <w:keepNext w:val="1"/>
        <w:widowControl w:val="1"/>
      </w:pPr>
      <w:r>
        <w:t xml:space="preserve">w_VS = 0,20  </w:t>
      </w:r>
    </w:p>
    <w:p>
      <w:pPr>
        <w:pStyle w:val="ListBullet"/>
        <w:keepLines w:val="1"/>
        <w:keepNext w:val="1"/>
        <w:widowControl w:val="1"/>
      </w:pPr>
      <w:r>
        <w:t xml:space="preserve">w_RR = 0,15  </w:t>
      </w:r>
    </w:p>
    <w:p>
      <w:pPr>
        <w:pStyle w:val="ListBullet"/>
        <w:keepLines w:val="1"/>
        <w:widowControl w:val="1"/>
      </w:pPr>
      <w:r>
        <w:t xml:space="preserve">w_CAP = 0,15  </w:t>
      </w:r>
    </w:p>
    <w:p>
      <w:pPr>
        <w:pStyle w:val="Heading3"/>
        <w:keepNext/>
        <w:keepLines/>
      </w:pPr>
      <w:r>
        <w:t>5. Hoja ROI</w:t>
      </w:r>
    </w:p>
    <w:p>
      <w:r>
        <w:t>El ROI en ciberseguridad, y en particular en modelado de amenazas, es difícil de medir, pero se puede aproximar con:</w:t>
      </w:r>
    </w:p>
    <w:p>
      <w:pPr>
        <w:pStyle w:val="ListNumber"/>
        <w:keepLines w:val="1"/>
        <w:keepNext w:val="1"/>
        <w:widowControl w:val="1"/>
      </w:pPr>
      <w:r>
        <w:t xml:space="preserve">Estimación del riesgo anual esperado antes y después de las mejoras.  </w:t>
      </w:r>
    </w:p>
    <w:p>
      <w:pPr>
        <w:pStyle w:val="ListNumber"/>
        <w:keepLines w:val="1"/>
        <w:widowControl w:val="1"/>
      </w:pPr>
      <w:r>
        <w:t>Coste directo de las mejoras.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ID_Organizacion  </w:t>
      </w:r>
    </w:p>
    <w:p>
      <w:pPr>
        <w:pStyle w:val="ListBullet"/>
        <w:keepLines w:val="1"/>
        <w:keepNext w:val="1"/>
        <w:widowControl w:val="1"/>
      </w:pPr>
      <w:r>
        <w:t xml:space="preserve">B: Riesgo_Anual_Esperado_Baseline (€)  </w:t>
      </w:r>
    </w:p>
    <w:p>
      <w:pPr>
        <w:pStyle w:val="ListBullet"/>
        <w:keepLines w:val="1"/>
        <w:keepNext w:val="1"/>
        <w:widowControl w:val="1"/>
      </w:pPr>
      <w:r>
        <w:t xml:space="preserve">C: Riesgo_Anual_Esperado_Actual (€)  </w:t>
      </w:r>
    </w:p>
    <w:p>
      <w:pPr>
        <w:pStyle w:val="ListBullet"/>
        <w:keepLines w:val="1"/>
        <w:keepNext w:val="1"/>
        <w:widowControl w:val="1"/>
      </w:pPr>
      <w:r>
        <w:t xml:space="preserve">D: Inversion_Anual_Modelado_Threat_Modeling (€)  </w:t>
      </w:r>
    </w:p>
    <w:p>
      <w:pPr>
        <w:pStyle w:val="ListBullet"/>
        <w:keepLines w:val="1"/>
        <w:keepNext w:val="1"/>
        <w:widowControl w:val="1"/>
      </w:pPr>
      <w:r>
        <w:t xml:space="preserve">E: Ahorro_Anual_Estimado (€) = B – C  </w:t>
      </w:r>
    </w:p>
    <w:p>
      <w:pPr>
        <w:pStyle w:val="ListBullet"/>
        <w:keepLines w:val="1"/>
        <w:widowControl w:val="1"/>
      </w:pPr>
      <w:r>
        <w:t xml:space="preserve">F: ROI (%) = (E – D) / D * 100  </w:t>
      </w:r>
    </w:p>
    <w:p>
      <w:r>
        <w:t>Donde:</w:t>
      </w:r>
    </w:p>
    <w:p>
      <w:pPr>
        <w:pStyle w:val="ListBullet"/>
        <w:keepLines w:val="1"/>
        <w:keepNext w:val="1"/>
        <w:widowControl w:val="1"/>
      </w:pPr>
      <w:r>
        <w:t xml:space="preserve">Riesgo_Anual_Esperado puede estimarse a partir de:  </w:t>
      </w:r>
    </w:p>
    <w:p>
      <w:pPr>
        <w:pStyle w:val="ListBullet"/>
        <w:keepLines w:val="1"/>
        <w:keepNext w:val="1"/>
        <w:widowControl w:val="1"/>
      </w:pPr>
      <w:r>
        <w:t xml:space="preserve">Historial de incidentes.  </w:t>
      </w:r>
    </w:p>
    <w:p>
      <w:pPr>
        <w:pStyle w:val="ListBullet"/>
        <w:keepLines w:val="1"/>
        <w:keepNext w:val="1"/>
        <w:widowControl w:val="1"/>
      </w:pPr>
      <w:r>
        <w:t xml:space="preserve">Escenarios PASTA de alto riesgo con probabilidad x impacto.  </w:t>
      </w:r>
    </w:p>
    <w:p>
      <w:pPr>
        <w:pStyle w:val="ListBullet"/>
        <w:keepLines w:val="1"/>
        <w:widowControl w:val="1"/>
      </w:pPr>
      <w:r>
        <w:t>Benchmarks internos o sectoriales.</w:t>
      </w:r>
    </w:p>
    <w:p>
      <w:r>
        <w:t>Como atajo, se puede usar una fórmula heurística: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Riesgo_Anual_Esperado_Actual = Riesgo_Anual_Esperado_Baseline * (1 – Reduccion_Riesgo_Por_Mejora)</w:t>
        <w:br/>
      </w:r>
    </w:p>
    <w:p>
      <w:r>
        <w:t xml:space="preserve">Y </w:t>
      </w:r>
      <w:r>
        <w:rPr>
          <w:rFonts w:ascii="Courier New" w:hAnsi="Courier New"/>
          <w:sz w:val="18"/>
        </w:rPr>
        <w:t>Reduccion_Riesgo_Por_Mejora</w:t>
      </w:r>
      <w:r>
        <w:t xml:space="preserve"> se puede aproximar como una función del incremento en el IGM (por ejemplo, cada 10 puntos de aumento en IGM suponen un X % de reducción de riesgo, ajustado por sector).</w:t>
      </w:r>
    </w:p>
    <w:p>
      <w:pPr>
        <w:pStyle w:val="Heading3"/>
        <w:keepNext/>
        <w:keepLines/>
      </w:pPr>
      <w:r>
        <w:t>6. Hoja GLOSARIO</w:t>
      </w:r>
    </w:p>
    <w:p>
      <w:r>
        <w:t>Definir:</w:t>
      </w:r>
    </w:p>
    <w:p>
      <w:pPr>
        <w:pStyle w:val="ListBullet"/>
        <w:keepLines w:val="1"/>
        <w:keepNext w:val="1"/>
        <w:widowControl w:val="1"/>
      </w:pPr>
      <w:r>
        <w:t xml:space="preserve">IGM y sus dimensiones.  </w:t>
      </w:r>
    </w:p>
    <w:p>
      <w:pPr>
        <w:pStyle w:val="ListBullet"/>
        <w:keepLines w:val="1"/>
        <w:keepNext w:val="1"/>
        <w:widowControl w:val="1"/>
      </w:pPr>
      <w:r>
        <w:t xml:space="preserve">ROI y sus limitaciones.  </w:t>
      </w:r>
    </w:p>
    <w:p>
      <w:pPr>
        <w:pStyle w:val="ListBullet"/>
        <w:keepLines w:val="1"/>
        <w:keepNext w:val="1"/>
        <w:widowControl w:val="1"/>
      </w:pPr>
      <w:r>
        <w:t xml:space="preserve">Criterios de normalización (cómo se convierten las respuestas en 0–100).  </w:t>
      </w:r>
    </w:p>
    <w:p>
      <w:pPr>
        <w:pStyle w:val="ListBullet"/>
        <w:keepLines w:val="1"/>
        <w:widowControl w:val="1"/>
      </w:pPr>
      <w:r>
        <w:t>Referencias a marcos usados (PASTA, STRIDE, NIS2, etc.).[web:18][web:21][web:31]</w:t>
      </w:r>
    </w:p>
    <w:p>
      <w:r>
        <w:t>Esta plantilla no pretende ser el evangelio definitivo del cálculo de ROI en ciberseguridad, pero sí un punto de partida honesto para pasar de la sensación a la medición.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