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(para presentación tipo PowerPoint)</w:t>
      </w:r>
    </w:p>
    <w:p>
      <w:pPr>
        <w:pStyle w:val="Heading2"/>
        <w:keepNext/>
        <w:keepLines/>
      </w:pPr>
      <w:r>
        <w:rPr>
          <w:color w:val="0066CC"/>
        </w:rPr>
        <w:t>Evaluación de madurez PASTA+STRIDE y recomendación estratégica</w:t>
      </w:r>
    </w:p>
    <w:p>
      <w:r>
        <w:t>Uso: esta estructura se puede trasladar a un deck de diapositivas.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“Madurez en Modelado de Amenazas y Gestión de Riesgos Cibernéticos (PASTA+STRIDE)”  </w:t>
      </w:r>
    </w:p>
    <w:p>
      <w:pPr>
        <w:pStyle w:val="ListBullet"/>
        <w:keepLines w:val="1"/>
        <w:keepNext w:val="1"/>
        <w:widowControl w:val="1"/>
      </w:pPr>
      <w:r>
        <w:t xml:space="preserve">Subtítulo: Nombre de la organización, fecha  </w:t>
      </w:r>
    </w:p>
    <w:p>
      <w:pPr>
        <w:pStyle w:val="ListBullet"/>
        <w:keepLines w:val="1"/>
        <w:widowControl w:val="1"/>
      </w:pPr>
      <w:r>
        <w:t xml:space="preserve">Preparado por: (equipo / comité / consultora)  </w:t>
      </w:r>
    </w:p>
    <w:p>
      <w:pPr>
        <w:pStyle w:val="Heading2"/>
        <w:keepNext/>
        <w:keepLines/>
      </w:pPr>
      <w:r>
        <w:rPr>
          <w:color w:val="0066CC"/>
        </w:rPr>
        <w:t>Diapositiva 2 – Resumen ejecutivo</w:t>
      </w:r>
    </w:p>
    <w:p>
      <w:pPr>
        <w:pStyle w:val="ListBullet"/>
        <w:keepLines w:val="1"/>
        <w:keepNext w:val="1"/>
        <w:widowControl w:val="1"/>
      </w:pPr>
      <w:r>
        <w:t xml:space="preserve">Breve descripción del objetivo de la evaluación.  </w:t>
      </w:r>
    </w:p>
    <w:p>
      <w:pPr>
        <w:pStyle w:val="ListBullet"/>
        <w:keepLines w:val="1"/>
        <w:keepNext w:val="1"/>
        <w:widowControl w:val="1"/>
      </w:pPr>
      <w:r>
        <w:t xml:space="preserve">Valor del Índice Global de Madurez (IGM).  </w:t>
      </w:r>
    </w:p>
    <w:p>
      <w:pPr>
        <w:pStyle w:val="ListBullet"/>
        <w:keepLines w:val="1"/>
        <w:keepNext w:val="1"/>
        <w:widowControl w:val="1"/>
      </w:pPr>
      <w:r>
        <w:t xml:space="preserve">3 mensajes clave:  </w:t>
      </w:r>
    </w:p>
    <w:p>
      <w:pPr>
        <w:pStyle w:val="ListBullet"/>
        <w:keepLines w:val="1"/>
        <w:keepNext w:val="1"/>
        <w:widowControl w:val="1"/>
      </w:pPr>
      <w:r>
        <w:t xml:space="preserve">Puntos fuertes.  </w:t>
      </w:r>
    </w:p>
    <w:p>
      <w:pPr>
        <w:pStyle w:val="ListBullet"/>
        <w:keepLines w:val="1"/>
        <w:keepNext w:val="1"/>
        <w:widowControl w:val="1"/>
      </w:pPr>
      <w:r>
        <w:t xml:space="preserve">Brechas críticas.  </w:t>
      </w:r>
    </w:p>
    <w:p>
      <w:pPr>
        <w:pStyle w:val="ListBullet"/>
        <w:keepLines w:val="1"/>
        <w:widowControl w:val="1"/>
      </w:pPr>
      <w:r>
        <w:t>Próximos pasos recomendados.</w:t>
      </w:r>
    </w:p>
    <w:p>
      <w:pPr>
        <w:pStyle w:val="Heading2"/>
        <w:keepNext/>
        <w:keepLines/>
      </w:pPr>
      <w:r>
        <w:rPr>
          <w:color w:val="0066CC"/>
        </w:rPr>
        <w:t>Diapositiva 3 – Metodología</w:t>
      </w:r>
    </w:p>
    <w:p>
      <w:pPr>
        <w:pStyle w:val="ListBullet"/>
        <w:keepLines w:val="1"/>
        <w:keepNext w:val="1"/>
        <w:widowControl w:val="1"/>
      </w:pPr>
      <w:r>
        <w:t xml:space="preserve">Referencia a la encuesta PASTA+STRIDE.  </w:t>
      </w:r>
    </w:p>
    <w:p>
      <w:pPr>
        <w:pStyle w:val="ListBullet"/>
        <w:keepLines w:val="1"/>
        <w:keepNext w:val="1"/>
        <w:widowControl w:val="1"/>
      </w:pPr>
      <w:r>
        <w:t xml:space="preserve">Marcos de referencia utilizados (PASTA, STRIDE, NIS2, ENS, SAMM, etc.).[web:18][web:21][web:39]  </w:t>
      </w:r>
    </w:p>
    <w:p>
      <w:pPr>
        <w:pStyle w:val="ListBullet"/>
        <w:keepLines w:val="1"/>
        <w:widowControl w:val="1"/>
      </w:pPr>
      <w:r>
        <w:t>Alcance: sistemas, unidades, periodo de análisis.</w:t>
      </w:r>
    </w:p>
    <w:p>
      <w:pPr>
        <w:pStyle w:val="Heading2"/>
        <w:keepNext/>
        <w:keepLines/>
      </w:pPr>
      <w:r>
        <w:rPr>
          <w:color w:val="0066CC"/>
        </w:rPr>
        <w:t>Diapositiva 4 – IGM global y comparación</w:t>
      </w:r>
    </w:p>
    <w:p>
      <w:pPr>
        <w:pStyle w:val="ListBullet"/>
        <w:keepLines w:val="1"/>
        <w:keepNext w:val="1"/>
        <w:widowControl w:val="1"/>
      </w:pPr>
      <w:r>
        <w:t xml:space="preserve">Gráfico sencillo con el IGM (0–100).  </w:t>
      </w:r>
    </w:p>
    <w:p>
      <w:pPr>
        <w:pStyle w:val="ListBullet"/>
        <w:keepLines w:val="1"/>
        <w:keepNext w:val="1"/>
        <w:widowControl w:val="1"/>
      </w:pPr>
      <w:r>
        <w:t xml:space="preserve">Comparación con:  </w:t>
      </w:r>
    </w:p>
    <w:p>
      <w:pPr>
        <w:pStyle w:val="ListBullet"/>
        <w:keepLines w:val="1"/>
        <w:keepNext w:val="1"/>
        <w:widowControl w:val="1"/>
      </w:pPr>
      <w:r>
        <w:t xml:space="preserve">Media del sector (si disponible).  </w:t>
      </w:r>
    </w:p>
    <w:p>
      <w:pPr>
        <w:pStyle w:val="ListBullet"/>
        <w:keepLines w:val="1"/>
        <w:widowControl w:val="1"/>
      </w:pPr>
      <w:r>
        <w:t>Media histórica de la propia organización (si existe evaluación previa).</w:t>
      </w:r>
    </w:p>
    <w:p>
      <w:pPr>
        <w:pStyle w:val="Heading2"/>
        <w:keepNext/>
        <w:keepLines/>
      </w:pPr>
      <w:r>
        <w:rPr>
          <w:color w:val="0066CC"/>
        </w:rPr>
        <w:t>Diapositiva 5 – Desglose por dimensiones</w:t>
      </w:r>
    </w:p>
    <w:p>
      <w:pPr>
        <w:pStyle w:val="ListBullet"/>
        <w:keepLines w:val="1"/>
        <w:keepNext w:val="1"/>
        <w:widowControl w:val="1"/>
      </w:pPr>
      <w:r>
        <w:t xml:space="preserve">Gráfico radar o barras con: GOV, TM, VULN_SIM, RISK_ROI, CAP.  </w:t>
      </w:r>
    </w:p>
    <w:p>
      <w:pPr>
        <w:pStyle w:val="ListBullet"/>
        <w:keepLines w:val="1"/>
        <w:widowControl w:val="1"/>
      </w:pPr>
      <w:r>
        <w:t>Comentarios breves por dimensión (fortalezas y debilidades).</w:t>
      </w:r>
    </w:p>
    <w:p>
      <w:pPr>
        <w:pStyle w:val="Heading2"/>
        <w:keepNext/>
        <w:keepLines/>
      </w:pPr>
      <w:r>
        <w:rPr>
          <w:color w:val="0066CC"/>
        </w:rPr>
        <w:t>Diapositiva 6 – Gobernanza y estrategia (GOV)</w:t>
      </w:r>
    </w:p>
    <w:p>
      <w:pPr>
        <w:pStyle w:val="ListBullet"/>
        <w:keepLines w:val="1"/>
        <w:keepNext w:val="1"/>
        <w:widowControl w:val="1"/>
      </w:pPr>
      <w:r>
        <w:t xml:space="preserve">Hallazgos clave:  </w:t>
      </w:r>
    </w:p>
    <w:p>
      <w:pPr>
        <w:pStyle w:val="ListBullet"/>
        <w:keepLines w:val="1"/>
        <w:keepNext w:val="1"/>
        <w:widowControl w:val="1"/>
      </w:pPr>
      <w:r>
        <w:t xml:space="preserve">Existencia de estrategia, comités, reporting a Alta Dirección.  </w:t>
      </w:r>
    </w:p>
    <w:p>
      <w:pPr>
        <w:pStyle w:val="ListBullet"/>
        <w:keepLines w:val="1"/>
        <w:keepNext w:val="1"/>
        <w:widowControl w:val="1"/>
      </w:pPr>
      <w:r>
        <w:t xml:space="preserve">Riesgos asociados a debilidades en esta dimensión.  </w:t>
      </w:r>
    </w:p>
    <w:p>
      <w:pPr>
        <w:pStyle w:val="ListBullet"/>
        <w:keepLines w:val="1"/>
        <w:widowControl w:val="1"/>
      </w:pPr>
      <w:r>
        <w:t>Recomendaciones de alto nivel (p.ej. formalizar comités, integrar ciber en planes de negocio).</w:t>
      </w:r>
    </w:p>
    <w:p>
      <w:pPr>
        <w:pStyle w:val="Heading2"/>
        <w:keepNext/>
        <w:keepLines/>
      </w:pPr>
      <w:r>
        <w:rPr>
          <w:color w:val="0066CC"/>
        </w:rPr>
        <w:t>Diapositiva 7 – Cobertura y calidad del modelado de amenazas (TM)</w:t>
      </w:r>
    </w:p>
    <w:p>
      <w:pPr>
        <w:pStyle w:val="ListBullet"/>
        <w:keepLines w:val="1"/>
        <w:keepNext w:val="1"/>
        <w:widowControl w:val="1"/>
      </w:pPr>
      <w:r>
        <w:t xml:space="preserve">Nivel de implantación de PASTA/STRIDE.  </w:t>
      </w:r>
    </w:p>
    <w:p>
      <w:pPr>
        <w:pStyle w:val="ListBullet"/>
        <w:keepLines w:val="1"/>
        <w:keepNext w:val="1"/>
        <w:widowControl w:val="1"/>
      </w:pPr>
      <w:r>
        <w:t xml:space="preserve">Momento del ciclo de vida en que se aplica.  </w:t>
      </w:r>
    </w:p>
    <w:p>
      <w:pPr>
        <w:pStyle w:val="ListBullet"/>
        <w:keepLines w:val="1"/>
        <w:keepNext w:val="1"/>
        <w:widowControl w:val="1"/>
      </w:pPr>
      <w:r>
        <w:t xml:space="preserve">Cobertura sobre sistemas críticos.  </w:t>
      </w:r>
    </w:p>
    <w:p>
      <w:pPr>
        <w:pStyle w:val="ListBullet"/>
        <w:keepLines w:val="1"/>
        <w:widowControl w:val="1"/>
      </w:pPr>
      <w:r>
        <w:t>Recomendaciones (p.ej. ampliar alcance, integrarlo en DevSecOps).</w:t>
      </w:r>
    </w:p>
    <w:p>
      <w:pPr>
        <w:pStyle w:val="Heading2"/>
        <w:keepNext/>
        <w:keepLines/>
      </w:pPr>
      <w:r>
        <w:rPr>
          <w:color w:val="0066CC"/>
        </w:rPr>
        <w:t>Diapositiva 8 – Vulnerabilidades y simulaciones (VULN_SIM)</w:t>
      </w:r>
    </w:p>
    <w:p>
      <w:pPr>
        <w:pStyle w:val="ListBullet"/>
        <w:keepLines w:val="1"/>
        <w:keepNext w:val="1"/>
        <w:widowControl w:val="1"/>
      </w:pPr>
      <w:r>
        <w:t xml:space="preserve">Gestión de vulnerabilidades ligada a amenazas.  </w:t>
      </w:r>
    </w:p>
    <w:p>
      <w:pPr>
        <w:pStyle w:val="ListBullet"/>
        <w:keepLines w:val="1"/>
        <w:keepNext w:val="1"/>
        <w:widowControl w:val="1"/>
      </w:pPr>
      <w:r>
        <w:t xml:space="preserve">Frecuencia y profundidad de simulaciones de ataque.  </w:t>
      </w:r>
    </w:p>
    <w:p>
      <w:pPr>
        <w:pStyle w:val="ListBullet"/>
        <w:keepLines w:val="1"/>
        <w:widowControl w:val="1"/>
      </w:pPr>
      <w:r>
        <w:t>Lecciones aprendidas e integración.</w:t>
      </w:r>
    </w:p>
    <w:p>
      <w:pPr>
        <w:pStyle w:val="Heading2"/>
        <w:keepNext/>
        <w:keepLines/>
      </w:pPr>
      <w:r>
        <w:rPr>
          <w:color w:val="0066CC"/>
        </w:rPr>
        <w:t>Diapositiva 9 – Riesgo, continuidad y ROI (RISK_ROI)</w:t>
      </w:r>
    </w:p>
    <w:p>
      <w:pPr>
        <w:pStyle w:val="ListBullet"/>
        <w:keepLines w:val="1"/>
        <w:keepNext w:val="1"/>
        <w:widowControl w:val="1"/>
      </w:pPr>
      <w:r>
        <w:t xml:space="preserve">Grado de integración con metodologías de riesgo existentes.  </w:t>
      </w:r>
    </w:p>
    <w:p>
      <w:pPr>
        <w:pStyle w:val="ListBullet"/>
        <w:keepLines w:val="1"/>
        <w:keepNext w:val="1"/>
        <w:widowControl w:val="1"/>
      </w:pPr>
      <w:r>
        <w:t xml:space="preserve">Nivel de cuantificación económica del riesgo.  </w:t>
      </w:r>
    </w:p>
    <w:p>
      <w:pPr>
        <w:pStyle w:val="ListBullet"/>
        <w:keepLines w:val="1"/>
        <w:keepNext w:val="1"/>
        <w:widowControl w:val="1"/>
      </w:pPr>
      <w:r>
        <w:t xml:space="preserve">Primeras estimaciones de impacto financiero (si se dispone).  </w:t>
      </w:r>
    </w:p>
    <w:p>
      <w:pPr>
        <w:pStyle w:val="ListBullet"/>
        <w:keepLines w:val="1"/>
        <w:widowControl w:val="1"/>
      </w:pPr>
      <w:r>
        <w:t>Mensajes clave para áreas de Finanzas y Dirección.</w:t>
      </w:r>
    </w:p>
    <w:p>
      <w:pPr>
        <w:pStyle w:val="Heading2"/>
        <w:keepNext/>
        <w:keepLines/>
      </w:pPr>
      <w:r>
        <w:rPr>
          <w:color w:val="0066CC"/>
        </w:rPr>
        <w:t>Diapositiva 10 – Capacidades habilitadoras (CAP)</w:t>
      </w:r>
    </w:p>
    <w:p>
      <w:pPr>
        <w:pStyle w:val="ListBullet"/>
        <w:keepLines w:val="1"/>
        <w:keepNext w:val="1"/>
        <w:widowControl w:val="1"/>
      </w:pPr>
      <w:r>
        <w:t xml:space="preserve">Tamaño y competencias del equipo.  </w:t>
      </w:r>
    </w:p>
    <w:p>
      <w:pPr>
        <w:pStyle w:val="ListBullet"/>
        <w:keepLines w:val="1"/>
        <w:keepNext w:val="1"/>
        <w:widowControl w:val="1"/>
      </w:pPr>
      <w:r>
        <w:t xml:space="preserve">Herramientas específicas y nivel de automatización.  </w:t>
      </w:r>
    </w:p>
    <w:p>
      <w:pPr>
        <w:pStyle w:val="ListBullet"/>
        <w:keepLines w:val="1"/>
        <w:widowControl w:val="1"/>
      </w:pPr>
      <w:r>
        <w:t>Principales carencias (talento, tecnología, procesos).</w:t>
      </w:r>
    </w:p>
    <w:p>
      <w:pPr>
        <w:pStyle w:val="Heading2"/>
        <w:keepNext/>
        <w:keepLines/>
      </w:pPr>
      <w:r>
        <w:rPr>
          <w:color w:val="0066CC"/>
        </w:rPr>
        <w:t>Diapositiva 11 – Roadmap de mejora</w:t>
      </w:r>
    </w:p>
    <w:p>
      <w:pPr>
        <w:pStyle w:val="ListBullet"/>
        <w:keepLines w:val="1"/>
        <w:keepNext w:val="1"/>
        <w:widowControl w:val="1"/>
      </w:pPr>
      <w:r>
        <w:t xml:space="preserve">Horizonte temporal (12–24 meses).  </w:t>
      </w:r>
    </w:p>
    <w:p>
      <w:pPr>
        <w:pStyle w:val="ListBullet"/>
        <w:keepLines w:val="1"/>
        <w:keepNext w:val="1"/>
        <w:widowControl w:val="1"/>
      </w:pPr>
      <w:r>
        <w:t xml:space="preserve">3–5 iniciativas clave priorizadas:  </w:t>
      </w:r>
    </w:p>
    <w:p>
      <w:pPr>
        <w:pStyle w:val="ListBullet"/>
        <w:keepLines w:val="1"/>
        <w:keepNext w:val="1"/>
        <w:widowControl w:val="1"/>
      </w:pPr>
      <w:r>
        <w:t xml:space="preserve">P.ej. “Implantación sistemática de Threat Modeling en proyectos críticos”.  </w:t>
      </w:r>
    </w:p>
    <w:p>
      <w:pPr>
        <w:pStyle w:val="ListBullet"/>
        <w:keepLines w:val="1"/>
        <w:keepNext w:val="1"/>
        <w:widowControl w:val="1"/>
      </w:pPr>
      <w:r>
        <w:t xml:space="preserve">“Programa de formación y certificación en PASTA/STRIDE para el equipo de seguridad”.  </w:t>
      </w:r>
    </w:p>
    <w:p>
      <w:pPr>
        <w:pStyle w:val="ListBullet"/>
        <w:keepLines w:val="1"/>
        <w:widowControl w:val="1"/>
      </w:pPr>
      <w:r>
        <w:t>“Integración con marco de riesgo corporativo y reporting financiero”.</w:t>
      </w:r>
    </w:p>
    <w:p>
      <w:pPr>
        <w:pStyle w:val="Heading2"/>
        <w:keepNext/>
        <w:keepLines/>
      </w:pPr>
      <w:r>
        <w:rPr>
          <w:color w:val="0066CC"/>
        </w:rPr>
        <w:t>Diapositiva 12 – Riesgos de no actuar</w:t>
      </w:r>
    </w:p>
    <w:p>
      <w:pPr>
        <w:pStyle w:val="ListBullet"/>
        <w:keepLines w:val="1"/>
        <w:keepNext w:val="1"/>
        <w:widowControl w:val="1"/>
      </w:pPr>
      <w:r>
        <w:t xml:space="preserve">Enumeración clara de consecuencias probables de mantener el estado actual.  </w:t>
      </w:r>
    </w:p>
    <w:p>
      <w:pPr>
        <w:pStyle w:val="ListBullet"/>
        <w:keepLines w:val="1"/>
        <w:widowControl w:val="1"/>
      </w:pPr>
      <w:r>
        <w:t>Enfoque: impacto en negocio, en cumplimiento, en reputación.</w:t>
      </w:r>
    </w:p>
    <w:p>
      <w:pPr>
        <w:pStyle w:val="Heading2"/>
        <w:keepNext/>
        <w:keepLines/>
      </w:pPr>
      <w:r>
        <w:rPr>
          <w:color w:val="0066CC"/>
        </w:rPr>
        <w:t>Diapositiva 13 – Cierre</w:t>
      </w:r>
    </w:p>
    <w:p>
      <w:pPr>
        <w:pStyle w:val="ListBullet"/>
        <w:keepLines w:val="1"/>
        <w:keepNext w:val="1"/>
        <w:widowControl w:val="1"/>
      </w:pPr>
      <w:r>
        <w:t xml:space="preserve">Mensaje final: “De la reacción a la anticipación: convertir el conocimiento de amenazas en ventaja competitiva y resiliencia”.  </w:t>
      </w:r>
    </w:p>
    <w:p>
      <w:pPr>
        <w:pStyle w:val="ListBullet"/>
        <w:keepLines w:val="1"/>
        <w:widowControl w:val="1"/>
      </w:pPr>
      <w:r>
        <w:t>Espacio para preguntas y discusión.</w:t>
      </w:r>
    </w:p>
    <w:p>
      <w:r>
        <w:t>Esta plantilla está pensada para presentar resultados a la Alta Dirección, traduciéndolos del idioma “ciber” al idioma “negocio” sin perder fidelidad técnica ni dramatismo racional.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