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 – GQM + PRAGMATIC + PASTA+STRIDE</w:t>
      </w:r>
    </w:p>
    <w:p>
      <w:r>
        <w:t>Estructura orientada a una presentación tipo PowerPoint para responsables políticos, reguladores y alta dirección.</w:t>
      </w:r>
    </w:p>
    <w:p>
      <w:pPr>
        <w:pStyle w:val="Heading2"/>
        <w:keepNext/>
        <w:keepLines/>
      </w:pPr>
      <w:r>
        <w:rPr>
          <w:color w:val="0066CC"/>
        </w:rPr>
        <w:t>Diapositiva 1 – Portada</w:t>
      </w:r>
    </w:p>
    <w:p>
      <w:pPr>
        <w:pStyle w:val="ListBullet"/>
        <w:keepLines w:val="1"/>
        <w:keepNext w:val="1"/>
        <w:widowControl w:val="1"/>
      </w:pPr>
      <w:r>
        <w:t xml:space="preserve">Título: “Indicadores nacionales de ciberseguridad basados en Threat Modeling (GQM + PRAGMATIC)”  </w:t>
      </w:r>
    </w:p>
    <w:p>
      <w:pPr>
        <w:pStyle w:val="ListBullet"/>
        <w:keepLines w:val="1"/>
        <w:keepNext w:val="1"/>
        <w:widowControl w:val="1"/>
      </w:pPr>
      <w:r>
        <w:t xml:space="preserve">Subtítulo: Resultados preliminares / Año / Alcance  </w:t>
      </w:r>
    </w:p>
    <w:p>
      <w:pPr>
        <w:pStyle w:val="ListBullet"/>
        <w:keepLines w:val="1"/>
        <w:widowControl w:val="1"/>
      </w:pPr>
      <w:r>
        <w:t>Logo(s): organismo(s) responsable(s)</w:t>
      </w:r>
    </w:p>
    <w:p>
      <w:pPr>
        <w:pStyle w:val="Heading2"/>
        <w:keepNext/>
        <w:keepLines/>
      </w:pPr>
      <w:r>
        <w:rPr>
          <w:color w:val="0066CC"/>
        </w:rPr>
        <w:t>Diapositiva 2 – Por qué otro cuadro de mando (y por qué este sí importa)</w:t>
      </w:r>
    </w:p>
    <w:p>
      <w:pPr>
        <w:pStyle w:val="ListBullet"/>
        <w:keepLines w:val="1"/>
        <w:keepNext w:val="1"/>
        <w:widowControl w:val="1"/>
      </w:pPr>
      <w:r>
        <w:t xml:space="preserve">Problema actual: métricas dispersas, poco alineadas con objetivos reales.  </w:t>
      </w:r>
    </w:p>
    <w:p>
      <w:pPr>
        <w:pStyle w:val="ListBullet"/>
        <w:keepLines w:val="1"/>
        <w:keepNext w:val="1"/>
        <w:widowControl w:val="1"/>
      </w:pPr>
      <w:r>
        <w:t xml:space="preserve">Propuesta: marco GQM+PRAGMATIC aplicado a PASTA+STRIDE y objetivos nacionales.  </w:t>
      </w:r>
    </w:p>
    <w:p>
      <w:pPr>
        <w:pStyle w:val="ListBullet"/>
        <w:keepLines w:val="1"/>
        <w:widowControl w:val="1"/>
      </w:pPr>
      <w:r>
        <w:t>Beneficios: trazabilidad, comparabilidad internacional, foco en resiliencia y eficiencia.[web:21][web:56]</w:t>
      </w:r>
    </w:p>
    <w:p>
      <w:pPr>
        <w:pStyle w:val="Heading2"/>
        <w:keepNext/>
        <w:keepLines/>
      </w:pPr>
      <w:r>
        <w:rPr>
          <w:color w:val="0066CC"/>
        </w:rPr>
        <w:t>Diapositiva 3 – Marco conceptual</w:t>
      </w:r>
    </w:p>
    <w:p>
      <w:pPr>
        <w:pStyle w:val="ListBullet"/>
        <w:keepLines w:val="1"/>
        <w:keepNext w:val="1"/>
        <w:widowControl w:val="1"/>
      </w:pPr>
      <w:r>
        <w:t xml:space="preserve">GQM: de objetivos a preguntas y métricas.[web:45][web:46][web:51]  </w:t>
      </w:r>
    </w:p>
    <w:p>
      <w:pPr>
        <w:pStyle w:val="ListBullet"/>
        <w:keepLines w:val="1"/>
        <w:keepNext w:val="1"/>
        <w:widowControl w:val="1"/>
      </w:pPr>
      <w:r>
        <w:t xml:space="preserve">PRAGMATIC: cómo escoger métricas que valgan la pena.[web:50][web:52][web:58]  </w:t>
      </w:r>
    </w:p>
    <w:p>
      <w:pPr>
        <w:pStyle w:val="ListBullet"/>
        <w:keepLines w:val="1"/>
        <w:widowControl w:val="1"/>
      </w:pPr>
      <w:r>
        <w:t xml:space="preserve">PASTA+STRIDE: fuente de indicadores técnicos de amenazas y riesgos.[web:18][web:28][web:39]  </w:t>
      </w:r>
    </w:p>
    <w:p>
      <w:r>
        <w:t>Breve diagrama mostrando la cadena: Objetivos → Preguntas → Métricas → Evaluación PRAGMATIC.</w:t>
      </w:r>
    </w:p>
    <w:p>
      <w:pPr>
        <w:pStyle w:val="Heading2"/>
        <w:keepNext/>
        <w:keepLines/>
      </w:pPr>
      <w:r>
        <w:rPr>
          <w:color w:val="0066CC"/>
        </w:rPr>
        <w:t>Diapositiva 4 – Objetivos estratégicos (G1–G4)</w:t>
      </w:r>
    </w:p>
    <w:p>
      <w:pPr>
        <w:pStyle w:val="ListBullet"/>
        <w:keepLines w:val="1"/>
        <w:keepNext w:val="1"/>
        <w:widowControl w:val="1"/>
      </w:pPr>
      <w:r>
        <w:t xml:space="preserve">G1: Proteger infraestructuras y servicios esenciales.  </w:t>
      </w:r>
    </w:p>
    <w:p>
      <w:pPr>
        <w:pStyle w:val="ListBullet"/>
        <w:keepLines w:val="1"/>
        <w:keepNext w:val="1"/>
        <w:widowControl w:val="1"/>
      </w:pPr>
      <w:r>
        <w:t xml:space="preserve">G2: Aumentar la madurez basada en riesgo.  </w:t>
      </w:r>
    </w:p>
    <w:p>
      <w:pPr>
        <w:pStyle w:val="ListBullet"/>
        <w:keepLines w:val="1"/>
        <w:keepNext w:val="1"/>
        <w:widowControl w:val="1"/>
      </w:pPr>
      <w:r>
        <w:t xml:space="preserve">G3: Mejorar la resiliencia y la recuperación.  </w:t>
      </w:r>
    </w:p>
    <w:p>
      <w:pPr>
        <w:pStyle w:val="ListBullet"/>
        <w:keepLines w:val="1"/>
        <w:widowControl w:val="1"/>
      </w:pPr>
      <w:r>
        <w:t>G4: Optimizar la eficiencia económica de la inversión.</w:t>
      </w:r>
    </w:p>
    <w:p>
      <w:r>
        <w:t>Indicar relación con NIS2, Plan Nacional, España Digital.[web:21][web:27][web:30]</w:t>
      </w:r>
    </w:p>
    <w:p>
      <w:pPr>
        <w:pStyle w:val="Heading2"/>
        <w:keepNext/>
        <w:keepLines/>
      </w:pPr>
      <w:r>
        <w:rPr>
          <w:color w:val="0066CC"/>
        </w:rPr>
        <w:t>Diapositiva 5 – Métricas núcleo (Núcleo duro PRAGMATIC)</w:t>
      </w:r>
    </w:p>
    <w:p>
      <w:r>
        <w:t>Presentar una tabla resumida con las métricas mejor puntuadas:</w:t>
      </w:r>
    </w:p>
    <w:p>
      <w:pPr>
        <w:pStyle w:val="ListBullet"/>
        <w:keepLines w:val="1"/>
        <w:keepNext w:val="1"/>
        <w:widowControl w:val="1"/>
      </w:pPr>
      <w:r>
        <w:t xml:space="preserve">M1.3: % de proyectos críticos con Threat Modeling en diseño.  </w:t>
      </w:r>
    </w:p>
    <w:p>
      <w:pPr>
        <w:pStyle w:val="ListBullet"/>
        <w:keepLines w:val="1"/>
        <w:keepNext w:val="1"/>
        <w:widowControl w:val="1"/>
      </w:pPr>
      <w:r>
        <w:t xml:space="preserve">M2.3.x: Tendencia anual de incidentes STRIDE.  </w:t>
      </w:r>
    </w:p>
    <w:p>
      <w:pPr>
        <w:pStyle w:val="ListBullet"/>
        <w:keepLines w:val="1"/>
        <w:keepNext w:val="1"/>
        <w:widowControl w:val="1"/>
      </w:pPr>
      <w:r>
        <w:t xml:space="preserve">M3.3: % de ejercicios con planes de acción implementados.  </w:t>
      </w:r>
    </w:p>
    <w:p>
      <w:pPr>
        <w:pStyle w:val="ListBullet"/>
        <w:keepLines w:val="1"/>
        <w:keepNext w:val="1"/>
        <w:widowControl w:val="1"/>
      </w:pPr>
      <w:r>
        <w:t xml:space="preserve">M4.1: MTTR crítico.  </w:t>
      </w:r>
    </w:p>
    <w:p>
      <w:pPr>
        <w:pStyle w:val="ListBullet"/>
        <w:keepLines w:val="1"/>
        <w:widowControl w:val="1"/>
      </w:pPr>
      <w:r>
        <w:t>M5.3: % de entidades que usan Threat Modeling para decisiones de inversión/ROI.</w:t>
      </w:r>
    </w:p>
    <w:p>
      <w:r>
        <w:t>Subrayar que estas métricas están “doblemente justificadas”: por objetivos (GQM) y por utilidad práctica (PRAGMATIC).</w:t>
      </w:r>
    </w:p>
    <w:p>
      <w:pPr>
        <w:pStyle w:val="Heading2"/>
        <w:keepNext/>
        <w:keepLines/>
      </w:pPr>
      <w:r>
        <w:rPr>
          <w:color w:val="0066CC"/>
        </w:rPr>
        <w:t>Diapositiva 6 – Resultados agregados (ejemplo)</w:t>
      </w:r>
    </w:p>
    <w:p>
      <w:pPr>
        <w:pStyle w:val="ListBullet"/>
        <w:keepLines w:val="1"/>
        <w:keepNext w:val="1"/>
        <w:widowControl w:val="1"/>
      </w:pPr>
      <w:r>
        <w:t xml:space="preserve">Gráfico de barras o radar mostrando valores medios nacionales / por sector para las métricas núcleo.  </w:t>
      </w:r>
    </w:p>
    <w:p>
      <w:pPr>
        <w:pStyle w:val="ListBullet"/>
        <w:keepLines w:val="1"/>
        <w:widowControl w:val="1"/>
      </w:pPr>
      <w:r>
        <w:t>Comentarios: sectores más avanzados, brechas notables, tendencias preocupantes.</w:t>
      </w:r>
    </w:p>
    <w:p>
      <w:pPr>
        <w:pStyle w:val="Heading2"/>
        <w:keepNext/>
        <w:keepLines/>
      </w:pPr>
      <w:r>
        <w:rPr>
          <w:color w:val="0066CC"/>
        </w:rPr>
        <w:t>Diapositiva 7 – Caso de uso: MTTR crítico y ejercicios de simulación</w:t>
      </w:r>
    </w:p>
    <w:p>
      <w:pPr>
        <w:pStyle w:val="ListBullet"/>
        <w:keepLines w:val="1"/>
        <w:keepNext w:val="1"/>
        <w:widowControl w:val="1"/>
      </w:pPr>
      <w:r>
        <w:t xml:space="preserve">Relación entre M3.1/M3.3 (simulaciones) y M4.1 (MTTR).  </w:t>
      </w:r>
    </w:p>
    <w:p>
      <w:pPr>
        <w:pStyle w:val="ListBullet"/>
        <w:keepLines w:val="1"/>
        <w:keepNext w:val="1"/>
        <w:widowControl w:val="1"/>
      </w:pPr>
      <w:r>
        <w:t xml:space="preserve">Si existe correlación: mostrar que más y mejores ejercicios se asocian con menor tiempo de recuperación.  </w:t>
      </w:r>
    </w:p>
    <w:p>
      <w:pPr>
        <w:pStyle w:val="ListBullet"/>
        <w:keepLines w:val="1"/>
        <w:widowControl w:val="1"/>
      </w:pPr>
      <w:r>
        <w:t>Implicación: los ejercicios basados en PASTA no son teatro; reducen daño real.</w:t>
      </w:r>
    </w:p>
    <w:p>
      <w:pPr>
        <w:pStyle w:val="Heading2"/>
        <w:keepNext/>
        <w:keepLines/>
      </w:pPr>
      <w:r>
        <w:rPr>
          <w:color w:val="0066CC"/>
        </w:rPr>
        <w:t>Diapositiva 8 – Caso de uso: madurez vs. incidentes STRIDE</w:t>
      </w:r>
    </w:p>
    <w:p>
      <w:pPr>
        <w:pStyle w:val="ListBullet"/>
        <w:keepLines w:val="1"/>
        <w:keepNext w:val="1"/>
        <w:widowControl w:val="1"/>
      </w:pPr>
      <w:r>
        <w:t xml:space="preserve">Relación entre cobertura de Threat Modeling (M1.1/M1.3) y tendencia STRIDE (M2.3.x).  </w:t>
      </w:r>
    </w:p>
    <w:p>
      <w:pPr>
        <w:pStyle w:val="ListBullet"/>
        <w:keepLines w:val="1"/>
        <w:widowControl w:val="1"/>
      </w:pPr>
      <w:r>
        <w:t>Mensaje: dónde se modela bien, las curvas de incidentes tienden a aplanarse antes.</w:t>
      </w:r>
    </w:p>
    <w:p>
      <w:pPr>
        <w:pStyle w:val="Heading2"/>
        <w:keepNext/>
        <w:keepLines/>
      </w:pPr>
      <w:r>
        <w:rPr>
          <w:color w:val="0066CC"/>
        </w:rPr>
        <w:t>Diapositiva 9 – Cálculo de IGM y ROI (visión simplificada)</w:t>
      </w:r>
    </w:p>
    <w:p>
      <w:pPr>
        <w:pStyle w:val="ListBullet"/>
        <w:keepLines w:val="1"/>
        <w:keepNext w:val="1"/>
        <w:widowControl w:val="1"/>
      </w:pPr>
      <w:r>
        <w:t xml:space="preserve">Explicar que a partir de métricas normalizadas se construye un IGM por sector/organización.  </w:t>
      </w:r>
    </w:p>
    <w:p>
      <w:pPr>
        <w:pStyle w:val="ListBullet"/>
        <w:keepLines w:val="1"/>
        <w:widowControl w:val="1"/>
      </w:pPr>
      <w:r>
        <w:t>Mostrar ejemplo de cómo una mejora de X puntos de IGM se asocia a reducción estimada de riesgo y a un ROI positivo, utilizando la plantilla de Excel.[web:48][web:51]</w:t>
      </w:r>
    </w:p>
    <w:p>
      <w:pPr>
        <w:pStyle w:val="Heading2"/>
        <w:keepNext/>
        <w:keepLines/>
      </w:pPr>
      <w:r>
        <w:rPr>
          <w:color w:val="0066CC"/>
        </w:rPr>
        <w:t>Diapositiva 10 – Recomendaciones de política pública</w:t>
      </w:r>
    </w:p>
    <w:p>
      <w:pPr>
        <w:pStyle w:val="ListBullet"/>
        <w:keepLines w:val="1"/>
        <w:keepNext w:val="1"/>
        <w:widowControl w:val="1"/>
      </w:pPr>
      <w:r>
        <w:t xml:space="preserve">Integrar el marco GQM+PRAGMATIC en la revisión del Plan Nacional de Ciberseguridad y guías de INCIBE/CCN.  </w:t>
      </w:r>
    </w:p>
    <w:p>
      <w:pPr>
        <w:pStyle w:val="ListBullet"/>
        <w:keepLines w:val="1"/>
        <w:keepNext w:val="1"/>
        <w:widowControl w:val="1"/>
      </w:pPr>
      <w:r>
        <w:t xml:space="preserve">Establecer un set mínimo obligatorio de métricas para operadores esenciales.  </w:t>
      </w:r>
    </w:p>
    <w:p>
      <w:pPr>
        <w:pStyle w:val="ListBullet"/>
        <w:keepLines w:val="1"/>
        <w:widowControl w:val="1"/>
      </w:pPr>
      <w:r>
        <w:t>Incentivar la mejora de IGM mediante programas de apoyo, formación y financiación.</w:t>
      </w:r>
    </w:p>
    <w:p>
      <w:pPr>
        <w:pStyle w:val="Heading2"/>
        <w:keepNext/>
        <w:keepLines/>
      </w:pPr>
      <w:r>
        <w:rPr>
          <w:color w:val="0066CC"/>
        </w:rPr>
        <w:t>Diapositiva 11 – Recomendaciones para organizaciones</w:t>
      </w:r>
    </w:p>
    <w:p>
      <w:pPr>
        <w:pStyle w:val="ListBullet"/>
        <w:keepLines w:val="1"/>
        <w:keepNext w:val="1"/>
        <w:widowControl w:val="1"/>
      </w:pPr>
      <w:r>
        <w:t xml:space="preserve">Adoptar GQM+PRAGMATIC internamente para limpiar y priorizar métricas.  </w:t>
      </w:r>
    </w:p>
    <w:p>
      <w:pPr>
        <w:pStyle w:val="ListBullet"/>
        <w:keepLines w:val="1"/>
        <w:keepNext w:val="1"/>
        <w:widowControl w:val="1"/>
      </w:pPr>
      <w:r>
        <w:t xml:space="preserve">Usar PASTA+STRIDE no sólo para hablar con auditores, sino con Finanzas y el Consejo.  </w:t>
      </w:r>
    </w:p>
    <w:p>
      <w:pPr>
        <w:pStyle w:val="ListBullet"/>
        <w:keepLines w:val="1"/>
        <w:widowControl w:val="1"/>
      </w:pPr>
      <w:r>
        <w:t>Vincular, de verdad, ejercicios de simulación con planes de acción e inversión.</w:t>
      </w:r>
    </w:p>
    <w:p>
      <w:pPr>
        <w:pStyle w:val="Heading2"/>
        <w:keepNext/>
        <w:keepLines/>
      </w:pPr>
      <w:r>
        <w:rPr>
          <w:color w:val="0066CC"/>
        </w:rPr>
        <w:t>Diapositiva 12 – Limitaciones y siguientes pasos</w:t>
      </w:r>
    </w:p>
    <w:p>
      <w:pPr>
        <w:pStyle w:val="ListBullet"/>
        <w:keepLines w:val="1"/>
        <w:keepNext w:val="1"/>
        <w:widowControl w:val="1"/>
      </w:pPr>
      <w:r>
        <w:t xml:space="preserve">Reconocer limitaciones de datos (sub-reporting, auto-declaración, heterogeneidad sectorial).  </w:t>
      </w:r>
    </w:p>
    <w:p>
      <w:pPr>
        <w:pStyle w:val="ListBullet"/>
        <w:keepLines w:val="1"/>
        <w:keepNext w:val="1"/>
        <w:widowControl w:val="1"/>
      </w:pPr>
      <w:r>
        <w:t xml:space="preserve">Proponer hoja de ruta de 3–5 años para mejorar la calidad y profundidad de las métricas.  </w:t>
      </w:r>
    </w:p>
    <w:p>
      <w:pPr>
        <w:pStyle w:val="ListBullet"/>
        <w:keepLines w:val="1"/>
        <w:widowControl w:val="1"/>
      </w:pPr>
      <w:r>
        <w:t>Invitar a colaboración entre organismos, sectores y comunidad técnica.</w:t>
      </w:r>
    </w:p>
    <w:p>
      <w:pPr>
        <w:pStyle w:val="Heading2"/>
        <w:keepNext/>
        <w:keepLines/>
      </w:pPr>
      <w:r>
        <w:rPr>
          <w:color w:val="0066CC"/>
        </w:rPr>
        <w:t>Diapositiva 13 – Cierre</w:t>
      </w:r>
    </w:p>
    <w:p>
      <w:r>
        <w:t>Mensaje final:</w:t>
      </w:r>
      <w:r/>
      <w:r>
        <w:br/>
        <w:t>“Si sabemos qué queremos lograr (G), sabemos qué debemos preguntar (Q) y escogemos bien qué medimos (M), la ciberseguridad deja de ser un acto de fe y se convierte en una política pública basada en evidencias. Y eso, en un país con más de 100.000 ataques al año, no es un lujo: es pura supervivencia informada.”[web:21]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