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 y Marcos de Referencia</w:t>
      </w:r>
    </w:p>
    <w:p>
      <w:r>
        <w:t>La siguiente tabla relaciona cada bloque y pregunta de la encuesta con marcos y requisitos normativos habituales (NIS2, ENS, ISO 27001, RGPD donde aplica, y marcos técnicos como MITRE ATT&amp;CK). El objetivo es facilitar su uso en contextos de cumplimiento y auditoría, sin perder el enfoque práctico en la Pirámide del Dolor.</w:t>
      </w:r>
    </w:p>
    <w:p>
      <w:r>
        <w:t>Nota: Las referencias normativas son indicativas y deben adaptarse a la versión específica y al contexto sectorial de cada organización.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 /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Directivas UE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/ Normativa española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/ Otros estándares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técnicos (ATT&amp;CK, etc.)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uso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1.1 – 1.5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Contexto organizativo, rol, tamaño, SOC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(gestión de riesgos), Anexo obligaciones de operadores esenciales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Organización y marco operacional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Cláus. 4 (contexto), 5 (liderazgo)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Ayuda a segmentar resultados por criticidad y recursos disponibles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2.1 – 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Conocimiento y uso de la Pirámide del Dolor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 (cultura de seguridad)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OP.1 (organización de la seguridad)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Cláus. 7 (competencia, concienciación)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Relación conceptual con ATT&amp;CK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Mide si la Pirámide se integra como marco conceptual y operativo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3.1 – 3.4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hashes maliciosos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(técnicas de detección), Anexo medidas técnicas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PR.1, PR.2 (protección)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Anexo A.8 (gestión de activos), A.12 (operaciones)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IoC de bajo nivel, STIX/TAXII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Evalúa prácticas en la base de la Pirámide (IoC efímeros)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3.5 – 3.8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IPs y dominios maliciosos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Ídem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OP.2, OP.3 (operación segura)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A.13 (seguridad en comunicaciones)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Blacklists, reputación, threat intelligence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Destaca la importancia de caducidad y recertificación de listas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4.1 – 4.6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Artefactos de red y host, reglas de detección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(detección y prevención de incidentes)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OP.3 (detección), OP.4 (respuesta)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A.12, A.16 (gestión de incidentes)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NDR, EDR/XDR, NIDS/HIDS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 alinea con el nivel intermedio de la Pirámide: patrones y artefactos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5.1 – 5.4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Uso de MITRE ATT&amp;CK, técnicas observadas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Gestión de riesgos avanzados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MP.2 (mejora continua)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Cláus. 9 (evaluación del desempeño)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MITRE ATT&amp;CK, D3FEND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Mide la formalización de TTP como lenguaje común de detección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5.5 – 5.7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Mapeo a niveles de Pirámide, esfuerzo por nivel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Ídem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OP.3, MP.2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Mejora de 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ATT&amp;CK, modelos de robustez analítica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Refuerza el enfoque de priorizar detecciones de alto nivel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6.1 – 6.4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MTTD, MTTR, eficacia de detección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Obligaciones de notificación y gestión de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OP.4 (respuesta a incidentes), MP.2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A.16 (gestión de incidentes), métricas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Buenas prácticas de SOC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Conecta métricas clásicas con niveles de la Pirámide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6.5 – 6.7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Falsos positivos, ruido, “dolor infligido”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Gestión eficaz de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eficiencia de 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27004 (medición de la seguridad)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ATT&amp;CK (detecciones de alta fidelidad)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Ayuda a justificar ajustes de reglas y priorización por impacto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7.1 – 7.5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Intercambio de información, coordinación nacional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Cooperación y notificación, CSIRTs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CO.1 (cooperación), OP.5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27010 (intercambio inter-organizativo)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Plataformas de CTI, ISACs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Evalúa el grado de integración en ecosistemas de intercambio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8.1 – 8.4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Marcos normativos, reportes al Consejo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– Gobernanza, responsabilidad de la dirección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– Organización y responsabilidades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– Cláus. 5, 9 (dirección y reporting)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ATT&amp;CK como lenguaje para comunicar riesgo táctico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Refuerza la necesidad de narrativa comprensible para alta dirección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9.1 – 9.4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Obstáculos, prioridades, visión futura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NIS2 – Planificación estratégica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– Mejora continua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ISO 27001 – Cláus. 10 (mejora)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Roadmaps ATT&amp;CK, Zero Trust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Apoya la definición de planes de acción y prioridades</w:t>
            </w:r>
          </w:p>
        </w:tc>
      </w:tr>
    </w:tbl>
    <w:p/>
    <w:p>
      <w:r>
        <w:t>Sugerencia: este mapeo puede ampliarse añadiendo columnas específicas para cada sector (salud, energía, financiero), indicando referencias sectoriales adicionales (p. ej., DORA, NERC CIP, NIS sectorial).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