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Pirámide del Dolor</w:t>
      </w:r>
    </w:p>
    <w:p>
      <w:r>
        <w:t>Bienvenido/a a este pequeño artefacto diseñado para medir algo tan escurridizo como el dolor que infligimos (o no) a nuestros adversarios en el ciberespacio.</w:t>
      </w:r>
    </w:p>
    <w:p>
      <w:r>
        <w:t>Este kit contiene:</w:t>
      </w:r>
    </w:p>
    <w:p>
      <w:pPr>
        <w:pStyle w:val="ListNumber"/>
        <w:keepLines w:val="1"/>
        <w:keepNext w:val="1"/>
        <w:widowControl w:val="1"/>
      </w:pPr>
      <w:r>
        <w:t xml:space="preserve">Modelo de encuesta integral (01_encuesta_piramide_dolor.md)  </w:t>
      </w:r>
    </w:p>
    <w:p>
      <w:pPr>
        <w:pStyle w:val="ListNumber"/>
        <w:keepLines w:val="1"/>
        <w:keepNext w:val="1"/>
        <w:widowControl w:val="1"/>
      </w:pPr>
      <w:r>
        <w:t xml:space="preserve">Guía metodológica detallada (02_guia_metodologica.md)  </w:t>
      </w:r>
    </w:p>
    <w:p>
      <w:pPr>
        <w:pStyle w:val="ListNumber"/>
        <w:keepLines w:val="1"/>
        <w:keepNext w:val="1"/>
        <w:widowControl w:val="1"/>
      </w:pPr>
      <w:r>
        <w:t xml:space="preserve">Narrativa explicativa (03_narrativa_explicativa.md)  </w:t>
      </w:r>
    </w:p>
    <w:p>
      <w:pPr>
        <w:pStyle w:val="ListNumber"/>
        <w:keepLines w:val="1"/>
        <w:keepNext w:val="1"/>
        <w:widowControl w:val="1"/>
      </w:pPr>
      <w:r>
        <w:t xml:space="preserve">Mapeo de preguntas a normativa y marcos (04_mapeo_preguntas_normativa.md)  </w:t>
      </w:r>
    </w:p>
    <w:p>
      <w:pPr>
        <w:pStyle w:val="ListNumber"/>
        <w:keepLines w:val="1"/>
        <w:keepNext w:val="1"/>
        <w:widowControl w:val="1"/>
      </w:pPr>
      <w:r>
        <w:t xml:space="preserve">Plantilla de Excel para IGM y ROI (05_plantilla_excel_igm_roi.md)  </w:t>
      </w:r>
    </w:p>
    <w:p>
      <w:pPr>
        <w:pStyle w:val="ListNumber"/>
        <w:keepLines w:val="1"/>
        <w:keepNext w:val="1"/>
        <w:widowControl w:val="1"/>
      </w:pPr>
      <w:r>
        <w:t xml:space="preserve">Plantilla de reporte ejecutivo (PPT) (06_plantilla_reporte_ejecutivo_ppt.md)  </w:t>
      </w:r>
    </w:p>
    <w:p>
      <w:pPr>
        <w:pStyle w:val="ListNumber"/>
        <w:keepLines w:val="1"/>
        <w:widowControl w:val="1"/>
      </w:pPr>
      <w:r>
        <w:t>Este README (07_README_kit_encuesta.md)</w:t>
      </w:r>
    </w:p>
    <w:p>
      <w:pPr>
        <w:pStyle w:val="Heading2"/>
        <w:keepNext/>
        <w:keepLines/>
      </w:pPr>
      <w:r>
        <w:rPr>
          <w:color w:val="0066CC"/>
        </w:rPr>
        <w:t>1. Propósito del kit</w:t>
      </w:r>
    </w:p>
    <w:p>
      <w:r>
        <w:t>El objetivo es ofrecer un paquete coherente para:</w:t>
      </w:r>
    </w:p>
    <w:p>
      <w:pPr>
        <w:pStyle w:val="ListBullet"/>
        <w:keepLines w:val="1"/>
        <w:keepNext w:val="1"/>
        <w:widowControl w:val="1"/>
      </w:pPr>
      <w:r>
        <w:t xml:space="preserve">Evaluar la madurez de una organización en detección a lo largo de la Pirámide del Dolor.  </w:t>
      </w:r>
    </w:p>
    <w:p>
      <w:pPr>
        <w:pStyle w:val="ListBullet"/>
        <w:keepLines w:val="1"/>
        <w:keepNext w:val="1"/>
        <w:widowControl w:val="1"/>
      </w:pPr>
      <w:r>
        <w:t xml:space="preserve">Traducir las respuestas de la encuesta en índices y métricas útiles.  </w:t>
      </w:r>
    </w:p>
    <w:p>
      <w:pPr>
        <w:pStyle w:val="ListBullet"/>
        <w:keepLines w:val="1"/>
        <w:keepNext w:val="1"/>
        <w:widowControl w:val="1"/>
      </w:pPr>
      <w:r>
        <w:t xml:space="preserve">Comunicar los resultados de forma comprensible a la alta dirección.  </w:t>
      </w:r>
    </w:p>
    <w:p>
      <w:pPr>
        <w:pStyle w:val="ListBullet"/>
        <w:keepLines w:val="1"/>
        <w:widowControl w:val="1"/>
      </w:pPr>
      <w:r>
        <w:t>Conectar todo ello con obligaciones normativas y marcos de referencia habituales.</w:t>
      </w:r>
    </w:p>
    <w:p>
      <w:r>
        <w:t>Si lo único que se consigue tras usar este kit es descubrir que se coleccionan más hashes de los que se entienden, ya habrá merecido la pena.</w:t>
      </w:r>
    </w:p>
    <w:p>
      <w:pPr>
        <w:pStyle w:val="Heading2"/>
        <w:keepNext/>
        <w:keepLines/>
      </w:pPr>
      <w:r>
        <w:rPr>
          <w:color w:val="0066CC"/>
        </w:rPr>
        <w:t>2. Cómo empezar (orden recomendado)</w:t>
      </w:r>
    </w:p>
    <w:p>
      <w:pPr>
        <w:pStyle w:val="ListNumber"/>
        <w:keepLines w:val="1"/>
        <w:keepNext w:val="1"/>
        <w:widowControl w:val="1"/>
      </w:pPr>
      <w:r>
        <w:t xml:space="preserve">Leer la narrativa explicativa (03_narrativa_explicativa.md) para situar el enfoque.  </w:t>
      </w:r>
    </w:p>
    <w:p>
      <w:pPr>
        <w:pStyle w:val="ListNumber"/>
        <w:keepLines w:val="1"/>
        <w:keepNext w:val="1"/>
        <w:widowControl w:val="1"/>
      </w:pPr>
      <w:r>
        <w:t xml:space="preserve">Revisar la encuesta (01_encuesta_piramide_dolor.md) y adaptar mínimamente terminología si hace falta.  </w:t>
      </w:r>
    </w:p>
    <w:p>
      <w:pPr>
        <w:pStyle w:val="ListNumber"/>
        <w:keepLines w:val="1"/>
        <w:keepNext w:val="1"/>
        <w:widowControl w:val="1"/>
      </w:pPr>
      <w:r>
        <w:t xml:space="preserve">Consultar la guía metodológica (02_guia_metodologica.md) para decidir a quién y cómo se aplicará.  </w:t>
      </w:r>
    </w:p>
    <w:p>
      <w:pPr>
        <w:pStyle w:val="ListNumber"/>
        <w:keepLines w:val="1"/>
        <w:keepNext w:val="1"/>
        <w:widowControl w:val="1"/>
      </w:pPr>
      <w:r>
        <w:t xml:space="preserve">Aplicar la encuesta (en formato formulario o entrevista).  </w:t>
      </w:r>
    </w:p>
    <w:p>
      <w:pPr>
        <w:pStyle w:val="ListNumber"/>
        <w:keepLines w:val="1"/>
        <w:keepNext w:val="1"/>
        <w:widowControl w:val="1"/>
      </w:pPr>
      <w:r>
        <w:t xml:space="preserve">Codificar las respuestas en una hoja de cálculo según la plantilla de IGM y ROI.  </w:t>
      </w:r>
    </w:p>
    <w:p>
      <w:pPr>
        <w:pStyle w:val="ListNumber"/>
        <w:keepLines w:val="1"/>
        <w:widowControl w:val="1"/>
      </w:pPr>
      <w:r>
        <w:t>Construir la presentación ejecutiva con ayuda de 06_plantilla_reporte_ejecutivo_ppt.md.</w:t>
      </w:r>
    </w:p>
    <w:p>
      <w:pPr>
        <w:pStyle w:val="Heading2"/>
        <w:keepNext/>
        <w:keepLines/>
      </w:pPr>
      <w:r>
        <w:rPr>
          <w:color w:val="0066CC"/>
        </w:rPr>
        <w:t>3. Personalización recomendada</w:t>
      </w:r>
    </w:p>
    <w:p>
      <w:pPr>
        <w:pStyle w:val="ListBullet"/>
        <w:keepLines w:val="1"/>
        <w:keepNext w:val="1"/>
        <w:widowControl w:val="1"/>
      </w:pPr>
      <w:r>
        <w:t xml:space="preserve">Sector: incorporar referencias sectoriales (p. ej., DORA, NIS sectoriales) en el mapeo normativo para salud, energía, finanzas, etc.  </w:t>
      </w:r>
    </w:p>
    <w:p>
      <w:pPr>
        <w:pStyle w:val="ListBullet"/>
        <w:keepLines w:val="1"/>
        <w:keepNext w:val="1"/>
        <w:widowControl w:val="1"/>
      </w:pPr>
      <w:r>
        <w:t xml:space="preserve">Idioma: el kit está en español, pero se puede traducir manteniendo la lógica de las preguntas.  </w:t>
      </w:r>
    </w:p>
    <w:p>
      <w:pPr>
        <w:pStyle w:val="ListBullet"/>
        <w:keepLines w:val="1"/>
        <w:widowControl w:val="1"/>
      </w:pPr>
      <w:r>
        <w:t>Profundidad: puede simplificarse para organizaciones pequeñas (p. ej., omitiendo algunas preguntas avanzadas sobre ATT&amp;CK).</w:t>
      </w:r>
    </w:p>
    <w:p>
      <w:r>
        <w:t>La única recomendación firme es no eliminar por completo las preguntas que miran hacia la cúspide de la Pirámide (TTP, comportamiento). Son las que, a la larga, marcan la diferencia.</w:t>
      </w:r>
    </w:p>
    <w:p>
      <w:pPr>
        <w:pStyle w:val="Heading2"/>
        <w:keepNext/>
        <w:keepLines/>
      </w:pPr>
      <w:r>
        <w:rPr>
          <w:color w:val="0066CC"/>
        </w:rPr>
        <w:t>4. Versionado y mantenimiento</w:t>
      </w:r>
    </w:p>
    <w:p>
      <w:r>
        <w:t>Se sugiere mantener un control de versiones del kit (por ejemplo, añadiendo un número de versión en este README):</w:t>
      </w:r>
    </w:p>
    <w:p>
      <w:pPr>
        <w:pStyle w:val="ListBullet"/>
        <w:keepLines w:val="1"/>
        <w:keepNext w:val="1"/>
        <w:widowControl w:val="1"/>
      </w:pPr>
      <w:r>
        <w:t xml:space="preserve">v1.0 – Versión inicial.  </w:t>
      </w:r>
    </w:p>
    <w:p>
      <w:pPr>
        <w:pStyle w:val="ListBullet"/>
        <w:keepLines w:val="1"/>
        <w:keepNext w:val="1"/>
        <w:widowControl w:val="1"/>
      </w:pPr>
      <w:r>
        <w:t xml:space="preserve">v1.1 – Ajustes de ponderaciones y mapeos normativos.  </w:t>
      </w:r>
    </w:p>
    <w:p>
      <w:pPr>
        <w:pStyle w:val="ListBullet"/>
        <w:keepLines w:val="1"/>
        <w:widowControl w:val="1"/>
      </w:pPr>
      <w:r>
        <w:t>v2.x – Revisiones mayores (por cambios normativos significativos, nuevas prácticas de detección, etc.).</w:t>
      </w:r>
    </w:p>
    <w:p>
      <w:r>
        <w:t>También es prudente revisar el contenido cada 2–3 años, especialmente ante cambios relevantes en:</w:t>
      </w:r>
    </w:p>
    <w:p>
      <w:pPr>
        <w:pStyle w:val="ListBullet"/>
        <w:keepLines w:val="1"/>
        <w:keepNext w:val="1"/>
        <w:widowControl w:val="1"/>
      </w:pPr>
      <w:r>
        <w:t xml:space="preserve">Marcos regulatorios (NIS2, ENS, etc.).  </w:t>
      </w:r>
    </w:p>
    <w:p>
      <w:pPr>
        <w:pStyle w:val="ListBullet"/>
        <w:keepLines w:val="1"/>
        <w:keepNext w:val="1"/>
        <w:widowControl w:val="1"/>
      </w:pPr>
      <w:r>
        <w:t xml:space="preserve">Marcos técnicos (versiones de ATT&amp;CK, nuevas taxonomías).  </w:t>
      </w:r>
    </w:p>
    <w:p>
      <w:pPr>
        <w:pStyle w:val="ListBullet"/>
        <w:keepLines w:val="1"/>
        <w:widowControl w:val="1"/>
      </w:pPr>
      <w:r>
        <w:t>Modelos de amenazas predominantes (por ejemplo, cambios en ransomware, OT, nube).</w:t>
      </w:r>
    </w:p>
    <w:p>
      <w:pPr>
        <w:pStyle w:val="Heading2"/>
        <w:keepNext/>
        <w:keepLines/>
      </w:pPr>
      <w:r>
        <w:rPr>
          <w:color w:val="0066CC"/>
        </w:rPr>
        <w:t>5. Buenas prácticas de uso</w:t>
      </w:r>
    </w:p>
    <w:p>
      <w:pPr>
        <w:pStyle w:val="ListBullet"/>
        <w:keepLines w:val="1"/>
        <w:keepNext w:val="1"/>
        <w:widowControl w:val="1"/>
      </w:pPr>
      <w:r>
        <w:t xml:space="preserve">Transparencia: explicar a las personas encuestadas para qué se utilizarán los resultados.  </w:t>
      </w:r>
    </w:p>
    <w:p>
      <w:pPr>
        <w:pStyle w:val="ListBullet"/>
        <w:keepLines w:val="1"/>
        <w:keepNext w:val="1"/>
        <w:widowControl w:val="1"/>
      </w:pPr>
      <w:r>
        <w:t xml:space="preserve">Confidencialidad: tratar las respuestas con el mismo cuidado que se espera de cualquier dato sensible.  </w:t>
      </w:r>
    </w:p>
    <w:p>
      <w:pPr>
        <w:pStyle w:val="ListBullet"/>
        <w:keepLines w:val="1"/>
        <w:keepNext w:val="1"/>
        <w:widowControl w:val="1"/>
      </w:pPr>
      <w:r>
        <w:t xml:space="preserve">Humildad: aceptar que la primera iteración será imperfecta; la mejora continua también aplica a las encuestas.  </w:t>
      </w:r>
    </w:p>
    <w:p>
      <w:pPr>
        <w:pStyle w:val="ListBullet"/>
        <w:keepLines w:val="1"/>
        <w:widowControl w:val="1"/>
      </w:pPr>
      <w:r>
        <w:t>Sentido del humor: un poco de ironía ayuda a hablar de temas serios sin caer en el dramatismo estéril.</w:t>
      </w:r>
    </w:p>
    <w:p>
      <w:pPr>
        <w:pStyle w:val="Heading2"/>
        <w:keepNext/>
        <w:keepLines/>
      </w:pPr>
      <w:r>
        <w:rPr>
          <w:color w:val="0066CC"/>
        </w:rPr>
        <w:t>6. Contacto y contribuciones</w:t>
      </w:r>
    </w:p>
    <w:p>
      <w:r>
        <w:t>Si este kit se utiliza como base para trabajos colaborativos (por ejemplo, consorcios sectoriales, grupos de trabajo nacionales), es recomendable:</w:t>
      </w:r>
    </w:p>
    <w:p>
      <w:pPr>
        <w:pStyle w:val="ListBullet"/>
        <w:keepLines w:val="1"/>
        <w:keepNext w:val="1"/>
        <w:widowControl w:val="1"/>
      </w:pPr>
      <w:r>
        <w:t xml:space="preserve">Crear un repositorio (Git u otro) para gestionar cambios.  </w:t>
      </w:r>
    </w:p>
    <w:p>
      <w:pPr>
        <w:pStyle w:val="ListBullet"/>
        <w:keepLines w:val="1"/>
        <w:keepNext w:val="1"/>
        <w:widowControl w:val="1"/>
      </w:pPr>
      <w:r>
        <w:t xml:space="preserve">Documentar las adaptaciones realizadas.  </w:t>
      </w:r>
    </w:p>
    <w:p>
      <w:pPr>
        <w:pStyle w:val="ListBullet"/>
        <w:keepLines w:val="1"/>
        <w:widowControl w:val="1"/>
      </w:pPr>
      <w:r>
        <w:t>Compartir lecciones aprendidas (sobre qué preguntas resultan más reveladoras, qué métricas son más útiles, etc.).</w:t>
      </w:r>
    </w:p>
    <w:p>
      <w:pPr>
        <w:pStyle w:val="Heading2"/>
        <w:keepNext/>
        <w:keepLines/>
      </w:pPr>
      <w:r>
        <w:rPr>
          <w:color w:val="0066CC"/>
        </w:rPr>
        <w:t>7. Descargo de responsabilidad</w:t>
      </w:r>
    </w:p>
    <w:p>
      <w:r>
        <w:t>Este kit no sustituye:</w:t>
      </w:r>
    </w:p>
    <w:p>
      <w:pPr>
        <w:pStyle w:val="ListBullet"/>
        <w:keepLines w:val="1"/>
        <w:keepNext w:val="1"/>
        <w:widowControl w:val="1"/>
      </w:pPr>
      <w:r>
        <w:t xml:space="preserve">Una auditoría formal de cumplimiento.  </w:t>
      </w:r>
    </w:p>
    <w:p>
      <w:pPr>
        <w:pStyle w:val="ListBullet"/>
        <w:keepLines w:val="1"/>
        <w:keepNext w:val="1"/>
        <w:widowControl w:val="1"/>
      </w:pPr>
      <w:r>
        <w:t xml:space="preserve">Una evaluación técnica exhaustiva de seguridad.  </w:t>
      </w:r>
    </w:p>
    <w:p>
      <w:pPr>
        <w:pStyle w:val="ListBullet"/>
        <w:keepLines w:val="1"/>
        <w:widowControl w:val="1"/>
      </w:pPr>
      <w:r>
        <w:t>El criterio profesional de quienes conocen en detalle la realidad de cada organización.</w:t>
      </w:r>
    </w:p>
    <w:p>
      <w:r>
        <w:t>Lo que sí pretende es aportar una mirada particular: la de la Pirámide del Dolor como hilo conductor para ordenar el caos de indicadores, métricas y dashboards. Si después de usarlo alguien decide invertir un poco menos en perseguir IPs desechables y un poco más en entender y romper los hábitos del adversario, podremos considerarnos satisfechos.</w:t>
      </w:r>
    </w:p>
    <w:p>
      <w:r>
        <w:t>Buen viaje por la Pirámide.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