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GQM a Requisitos Normativos</w:t>
      </w:r>
    </w:p>
    <w:p>
      <w:pPr>
        <w:pStyle w:val="Heading2"/>
        <w:keepNext/>
        <w:keepLines/>
      </w:pPr>
      <w:r>
        <w:rPr>
          <w:color w:val="0066CC"/>
        </w:rPr>
        <w:t>Pirámide del Dolor + GQM + PRAGMATIC</w:t>
      </w:r>
    </w:p>
    <w:p>
      <w:r>
        <w:t>La tabla siguiente vincula los objetivos GQM definidos en el marco integrativo con referencias normativas y marcos habituales (NIS2, ENS, ISO 27001, etc.), de forma que cada objetivo y su familia de métricas puedan contextualizarse en términos de cumplimiento y buenas prácticas.</w:t>
      </w:r>
    </w:p>
    <w:p>
      <w:r>
        <w:t>Nota: las referencias son orientativas y deben adaptarse a la versión y transposición específica de cada norma.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resumida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Directivas UE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/ España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/ Estándares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Marcos técnicos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Mejorar eficiencia de uso de IoC de bajo nivel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Art. 21 (gestión de riesgos y medidas técnicas)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PR.1, PR.2 (protección), OP.3 (operación segura)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A.12 (operaciones), A.13 (comunicaciones)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STIX/TAXII, CTI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Alinea la gestión de IoC con obligaciones de detección y respuesta.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disciplinada de listas de IP/dom. maliciosos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medidas técnicas proporcionales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OP.2, OP.3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A.12, A.13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Threat Intel Feeds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Evita dependencia en listas obsoletas; encaja en operación segura.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Aumentar detección por artefactos antes de incidentes graves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Art. 23 (det. y notificación incidentes)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OP.3 (detección), OP.4 (respuesta)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A.16 (gestión de incidentes)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NDR, EDR/XDR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Conecta detección intermedia con requisitos de gestión de incidentes.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Optimizar reglas de artefactos, reducir ruido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eficacia de medidas técnicas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MP.2 (mejora continua)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Cláus. 9 (evaluación desempeño)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Buenas prácticas SOC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Relacionado con mejora continua y uso eficiente de recursos.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Incrementar detecciones en capas altas (TTP)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abordaje de ciberamenazas avanzadas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OP.3, MP.2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enfoque basado en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MITRE ATT&amp;CK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Apoya la adopción de detecciones avanzadas como “estado del arte”.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Cobertura mínima ATT&amp;CK por sector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requisitos sectoriales de 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MP.2, OP.3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A.18 (cumplimiento)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ATT&amp;CK, D3FEND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Facilita la definición de “buenas prácticas” sectoriales.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Reducir MTTD/MTTR mediante detecciones de calidad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gestión y mitigación de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OP.4 (respuesta), OP.5 (recuperación)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A.16, ISO 22301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SOC, IR playbooks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Métricas clásicas de incidentes, enriquecidas con enfoque piramidal.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Demostrar ROI de inversiones en detección de alto nivel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proporcionalidad y eficiencia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MP.2 (mejora continua), OR.1 (organización)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planificación y mejora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Modelos de costes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Da soporte cuantitativo a decisiones de inversión.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G9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Potenciar intercambio de información de alto valor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NIS2 – cooperación y CSIRTs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ENS – CO.1 (relaciones con terceros)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ISO 27010 (intercambio inter-org.)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ISACs, CSIRTs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Refuerza la dimensión colaborativa exigida por NIS2.</w:t>
            </w:r>
          </w:p>
        </w:tc>
      </w:tr>
    </w:tbl>
    <w:p/>
    <w:p>
      <w:pPr>
        <w:pStyle w:val="Heading3"/>
        <w:keepNext/>
        <w:keepLines/>
      </w:pPr>
      <w:r>
        <w:t>Uso práctico del mapeo</w:t>
      </w:r>
    </w:p>
    <w:p>
      <w:pPr>
        <w:pStyle w:val="ListBullet"/>
        <w:keepLines w:val="1"/>
        <w:keepNext w:val="1"/>
        <w:widowControl w:val="1"/>
      </w:pPr>
      <w:r>
        <w:t xml:space="preserve">Para reguladores / organismos nacionales: vincular objetivos GQM con exigencias de NIS2 y ENS, justificando por qué se piden ciertas métricas.  </w:t>
      </w:r>
    </w:p>
    <w:p>
      <w:pPr>
        <w:pStyle w:val="ListBullet"/>
        <w:keepLines w:val="1"/>
        <w:keepNext w:val="1"/>
        <w:widowControl w:val="1"/>
      </w:pPr>
      <w:r>
        <w:t xml:space="preserve">Para organizaciones: demostrar que las iniciativas de mejora en TTP y detección avanzada no son “extras”, sino parte de la respuesta razonable a marcos de referencia.  </w:t>
      </w:r>
    </w:p>
    <w:p>
      <w:pPr>
        <w:pStyle w:val="ListBullet"/>
        <w:keepLines w:val="1"/>
        <w:widowControl w:val="1"/>
      </w:pPr>
      <w:r>
        <w:t>Para auditores: utilizar los objetivos GQM como referencia para evaluar si se mide lo que las normas esperaban, aunque no lo dijeran con estas palabras.</w:t>
      </w:r>
    </w:p>
    <w:p>
      <w:r>
        <w:t>El detalle fino (artículos concretos, medidas específicas del ENS por categoría) se puede completar en función del sector y tipo de organismo.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