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</w:t>
      </w:r>
    </w:p>
    <w:p>
      <w:pPr>
        <w:pStyle w:val="Heading2"/>
        <w:keepNext/>
        <w:keepLines/>
      </w:pPr>
      <w:r>
        <w:rPr>
          <w:color w:val="0066CC"/>
        </w:rPr>
        <w:t>Extensión GQM + PRAGMATIC para la Pirámide del Dolor</w:t>
      </w:r>
    </w:p>
    <w:p>
      <w:r>
        <w:t>Esta plantilla complementa la ya definida para IGM y ROI, incorporando explícitamente:</w:t>
      </w:r>
    </w:p>
    <w:p>
      <w:pPr>
        <w:pStyle w:val="ListBullet"/>
        <w:keepLines w:val="1"/>
        <w:keepNext w:val="1"/>
        <w:widowControl w:val="1"/>
      </w:pPr>
      <w:r>
        <w:t xml:space="preserve">El vínculo GQM (qué objetivo y pregunta alimenta cada métrica).  </w:t>
      </w:r>
    </w:p>
    <w:p>
      <w:pPr>
        <w:pStyle w:val="ListBullet"/>
        <w:keepLines w:val="1"/>
        <w:widowControl w:val="1"/>
      </w:pPr>
      <w:r>
        <w:t>Las puntuaciones PRAGMATIC asociadas a cada métrica, para priorización.</w:t>
      </w:r>
    </w:p>
    <w:p>
      <w:pPr>
        <w:pStyle w:val="Heading2"/>
        <w:keepNext/>
        <w:keepLines/>
      </w:pPr>
      <w:r>
        <w:rPr>
          <w:color w:val="0066CC"/>
        </w:rPr>
        <w:t>1. Estructura del libro</w:t>
      </w:r>
    </w:p>
    <w:p>
      <w:r>
        <w:t>Se sugiere un libro con las siguientes hojas:</w:t>
      </w:r>
    </w:p>
    <w:p>
      <w:pPr>
        <w:pStyle w:val="ListNumber"/>
        <w:keepLines w:val="1"/>
        <w:keepNext w:val="1"/>
        <w:widowControl w:val="1"/>
      </w:pPr>
      <w:r>
        <w:t xml:space="preserve">Catalogo_Metricas </w:t>
      </w:r>
    </w:p>
    <w:p>
      <w:pPr>
        <w:pStyle w:val="ListNumber"/>
        <w:keepLines w:val="1"/>
        <w:keepNext w:val="1"/>
        <w:widowControl w:val="1"/>
      </w:pPr>
      <w:r>
        <w:t xml:space="preserve">Puntuacion_PRAGMATIC </w:t>
      </w:r>
    </w:p>
    <w:p>
      <w:pPr>
        <w:pStyle w:val="ListNumber"/>
        <w:keepLines w:val="1"/>
        <w:keepNext w:val="1"/>
        <w:widowControl w:val="1"/>
      </w:pPr>
      <w:r>
        <w:t xml:space="preserve">Datos_Encuesta </w:t>
      </w:r>
    </w:p>
    <w:p>
      <w:pPr>
        <w:pStyle w:val="ListNumber"/>
        <w:keepLines w:val="1"/>
        <w:keepNext w:val="1"/>
        <w:widowControl w:val="1"/>
      </w:pPr>
      <w:r>
        <w:t xml:space="preserve">IGM_GQM </w:t>
      </w:r>
    </w:p>
    <w:p>
      <w:pPr>
        <w:pStyle w:val="ListNumber"/>
        <w:keepLines w:val="1"/>
        <w:keepNext w:val="1"/>
        <w:widowControl w:val="1"/>
      </w:pPr>
      <w:r>
        <w:t xml:space="preserve">ROI </w:t>
      </w:r>
    </w:p>
    <w:p>
      <w:pPr>
        <w:pStyle w:val="ListNumber"/>
        <w:keepLines w:val="1"/>
        <w:widowControl w:val="1"/>
      </w:pPr>
      <w:r>
        <w:t>Resumen_Ejecutivo</w:t>
      </w:r>
    </w:p>
    <w:p>
      <w:pPr>
        <w:pStyle w:val="Heading2"/>
        <w:keepNext/>
        <w:keepLines/>
      </w:pPr>
      <w:r>
        <w:rPr>
          <w:color w:val="0066CC"/>
        </w:rPr>
        <w:t>2. Hoja Catalogo_Metricas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A: ID_Metrica (M1.1, M1.2, …, M9.3)  </w:t>
      </w:r>
    </w:p>
    <w:p>
      <w:pPr>
        <w:pStyle w:val="ListBullet"/>
        <w:keepLines w:val="1"/>
        <w:keepNext w:val="1"/>
        <w:widowControl w:val="1"/>
      </w:pPr>
      <w:r>
        <w:t xml:space="preserve">B: Descripción  </w:t>
      </w:r>
    </w:p>
    <w:p>
      <w:pPr>
        <w:pStyle w:val="ListBullet"/>
        <w:keepLines w:val="1"/>
        <w:keepNext w:val="1"/>
        <w:widowControl w:val="1"/>
      </w:pPr>
      <w:r>
        <w:t xml:space="preserve">C: Objetivo_GQM (G1, G2, …, G9)  </w:t>
      </w:r>
    </w:p>
    <w:p>
      <w:pPr>
        <w:pStyle w:val="ListBullet"/>
        <w:keepLines w:val="1"/>
        <w:keepNext w:val="1"/>
        <w:widowControl w:val="1"/>
      </w:pPr>
      <w:r>
        <w:t xml:space="preserve">D: Pregunta_GQM (Q1.1, Q2.1, etc.)  </w:t>
      </w:r>
    </w:p>
    <w:p>
      <w:pPr>
        <w:pStyle w:val="ListBullet"/>
        <w:keepLines w:val="1"/>
        <w:keepNext w:val="1"/>
        <w:widowControl w:val="1"/>
      </w:pPr>
      <w:r>
        <w:t xml:space="preserve">E: Nivel_Piramide (IoC, Artefactos, TTP, Gobernanza)  </w:t>
      </w:r>
    </w:p>
    <w:p>
      <w:pPr>
        <w:pStyle w:val="ListBullet"/>
        <w:keepLines w:val="1"/>
        <w:keepNext w:val="1"/>
        <w:widowControl w:val="1"/>
      </w:pPr>
      <w:r>
        <w:t xml:space="preserve">F: Tipo (tiempo, porcentaje, conteo, etc.)  </w:t>
      </w:r>
    </w:p>
    <w:p>
      <w:pPr>
        <w:pStyle w:val="ListBullet"/>
        <w:keepLines w:val="1"/>
        <w:keepNext w:val="1"/>
        <w:widowControl w:val="1"/>
      </w:pPr>
      <w:r>
        <w:t xml:space="preserve">G: Unidad (horas, %, nº, etc.)  </w:t>
      </w:r>
    </w:p>
    <w:p>
      <w:pPr>
        <w:pStyle w:val="ListBullet"/>
        <w:keepLines w:val="1"/>
        <w:widowControl w:val="1"/>
      </w:pPr>
      <w:r>
        <w:t>H: Instrucciones de cálculo (texto breve)</w:t>
      </w:r>
    </w:p>
    <w:p>
      <w:pPr>
        <w:pStyle w:val="Heading2"/>
        <w:keepNext/>
        <w:keepLines/>
      </w:pPr>
      <w:r>
        <w:rPr>
          <w:color w:val="0066CC"/>
        </w:rPr>
        <w:t>3. Hoja Puntuacion_PRAGMATIC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A: ID_Metrica  </w:t>
      </w:r>
    </w:p>
    <w:p>
      <w:pPr>
        <w:pStyle w:val="ListBullet"/>
        <w:keepLines w:val="1"/>
        <w:keepNext w:val="1"/>
        <w:widowControl w:val="1"/>
      </w:pPr>
      <w:r>
        <w:t xml:space="preserve">B: P (Predictivo)  </w:t>
      </w:r>
    </w:p>
    <w:p>
      <w:pPr>
        <w:pStyle w:val="ListBullet"/>
        <w:keepLines w:val="1"/>
        <w:keepNext w:val="1"/>
        <w:widowControl w:val="1"/>
      </w:pPr>
      <w:r>
        <w:t xml:space="preserve">C: R (Relevante)  </w:t>
      </w:r>
    </w:p>
    <w:p>
      <w:pPr>
        <w:pStyle w:val="ListBullet"/>
        <w:keepLines w:val="1"/>
        <w:keepNext w:val="1"/>
        <w:widowControl w:val="1"/>
      </w:pPr>
      <w:r>
        <w:t xml:space="preserve">D: A (Accionable)  </w:t>
      </w:r>
    </w:p>
    <w:p>
      <w:pPr>
        <w:pStyle w:val="ListBullet"/>
        <w:keepLines w:val="1"/>
        <w:keepNext w:val="1"/>
        <w:widowControl w:val="1"/>
      </w:pPr>
      <w:r>
        <w:t xml:space="preserve">E: G (Genuino)  </w:t>
      </w:r>
    </w:p>
    <w:p>
      <w:pPr>
        <w:pStyle w:val="ListBullet"/>
        <w:keepLines w:val="1"/>
        <w:keepNext w:val="1"/>
        <w:widowControl w:val="1"/>
      </w:pPr>
      <w:r>
        <w:t xml:space="preserve">F: M (Significativo)  </w:t>
      </w:r>
    </w:p>
    <w:p>
      <w:pPr>
        <w:pStyle w:val="ListBullet"/>
        <w:keepLines w:val="1"/>
        <w:keepNext w:val="1"/>
        <w:widowControl w:val="1"/>
      </w:pPr>
      <w:r>
        <w:t xml:space="preserve">G: P2 (Preciso)  </w:t>
      </w:r>
    </w:p>
    <w:p>
      <w:pPr>
        <w:pStyle w:val="ListBullet"/>
        <w:keepLines w:val="1"/>
        <w:keepNext w:val="1"/>
        <w:widowControl w:val="1"/>
      </w:pPr>
      <w:r>
        <w:t xml:space="preserve">H: T (Oportuno)  </w:t>
      </w:r>
    </w:p>
    <w:p>
      <w:pPr>
        <w:pStyle w:val="ListBullet"/>
        <w:keepLines w:val="1"/>
        <w:keepNext w:val="1"/>
        <w:widowControl w:val="1"/>
      </w:pPr>
      <w:r>
        <w:t xml:space="preserve">I: I (Independiente)  </w:t>
      </w:r>
    </w:p>
    <w:p>
      <w:pPr>
        <w:pStyle w:val="ListBullet"/>
        <w:keepLines w:val="1"/>
        <w:keepNext w:val="1"/>
        <w:widowControl w:val="1"/>
      </w:pPr>
      <w:r>
        <w:t xml:space="preserve">J: C (Rentable)  </w:t>
      </w:r>
    </w:p>
    <w:p>
      <w:pPr>
        <w:pStyle w:val="ListBullet"/>
        <w:keepLines w:val="1"/>
        <w:keepNext w:val="1"/>
        <w:widowControl w:val="1"/>
      </w:pPr>
      <w:r>
        <w:t xml:space="preserve">K: PRAGMATIC_Total (suma o media)  </w:t>
      </w:r>
    </w:p>
    <w:p>
      <w:pPr>
        <w:pStyle w:val="ListBullet"/>
        <w:keepLines w:val="1"/>
        <w:widowControl w:val="1"/>
      </w:pPr>
      <w:r>
        <w:t>L: Comentario</w:t>
      </w:r>
    </w:p>
    <w:p>
      <w:r>
        <w:t>Las puntuaciones pueden partir de la matriz propuesta y ajustarse a la realidad específica de cada implementación.</w:t>
      </w:r>
      <w:r/>
      <w:r>
        <w:br/>
        <w:t xml:space="preserve">Una fórmula sencilla para </w:t>
      </w:r>
      <w:r>
        <w:rPr>
          <w:rFonts w:ascii="Courier New" w:hAnsi="Courier New"/>
          <w:sz w:val="18"/>
        </w:rPr>
        <w:t>PRAGMATIC_Total</w:t>
      </w:r>
      <w:r>
        <w:t xml:space="preserve"> sería: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=SUMA(B2:J2)</w:t>
        <w:br/>
      </w:r>
    </w:p>
    <w:p>
      <w:r>
        <w:t>o bien una media: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=PROMEDIO(B2:J2)</w:t>
        <w:br/>
      </w:r>
    </w:p>
    <w:p>
      <w:pPr>
        <w:pStyle w:val="Heading2"/>
        <w:keepNext/>
        <w:keepLines/>
      </w:pPr>
      <w:r>
        <w:rPr>
          <w:color w:val="0066CC"/>
        </w:rPr>
        <w:t>4. Hoja Datos_Encuesta</w:t>
      </w:r>
    </w:p>
    <w:p>
      <w:r>
        <w:t>Se reutiliza la estructura anterior, añadiendo columnas para aquellas métricas GQM que requieran datos adicionales (por ejemplo, tiempos, conteos).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A: ID_Organizacion  </w:t>
      </w:r>
    </w:p>
    <w:p>
      <w:pPr>
        <w:pStyle w:val="ListBullet"/>
        <w:keepLines w:val="1"/>
        <w:keepNext w:val="1"/>
        <w:widowControl w:val="1"/>
      </w:pPr>
      <w:r>
        <w:t xml:space="preserve">B: Sector  </w:t>
      </w:r>
    </w:p>
    <w:p>
      <w:pPr>
        <w:pStyle w:val="ListBullet"/>
        <w:keepLines w:val="1"/>
        <w:keepNext w:val="1"/>
        <w:widowControl w:val="1"/>
      </w:pPr>
      <w:r>
        <w:t xml:space="preserve">C: Tamaño  </w:t>
      </w:r>
    </w:p>
    <w:p>
      <w:pPr>
        <w:pStyle w:val="ListBullet"/>
        <w:keepLines w:val="1"/>
        <w:keepNext w:val="1"/>
        <w:widowControl w:val="1"/>
      </w:pPr>
      <w:r>
        <w:t xml:space="preserve">…  </w:t>
      </w:r>
    </w:p>
    <w:p>
      <w:pPr>
        <w:pStyle w:val="ListBullet"/>
        <w:keepLines w:val="1"/>
        <w:widowControl w:val="1"/>
      </w:pPr>
      <w:r>
        <w:t>Z en adelante: métricas cuantitativas (M1.1, M1.2, …) rellenadas con valores reales.</w:t>
      </w:r>
    </w:p>
    <w:p>
      <w:pPr>
        <w:pStyle w:val="Heading2"/>
        <w:keepNext/>
        <w:keepLines/>
      </w:pPr>
      <w:r>
        <w:rPr>
          <w:color w:val="0066CC"/>
        </w:rPr>
        <w:t>5. Hoja IGM_GQM</w:t>
      </w:r>
    </w:p>
    <w:p>
      <w:pPr>
        <w:pStyle w:val="Heading3"/>
        <w:keepNext/>
        <w:keepLines/>
      </w:pPr>
      <w:r>
        <w:t>5.1 Selección de métricas según PRAGMATIC</w:t>
      </w:r>
    </w:p>
    <w:p>
      <w:r>
        <w:t>En esta hoja se recomienda:</w:t>
      </w:r>
    </w:p>
    <w:p>
      <w:pPr>
        <w:pStyle w:val="ListNumber"/>
        <w:keepLines w:val="1"/>
        <w:keepNext w:val="1"/>
        <w:widowControl w:val="1"/>
      </w:pPr>
      <w:r>
        <w:t xml:space="preserve">Importar desde Puntuacion_PRAGMATIC las métricas con PRAGMATIC_Total por encima de un umbral (por ejemplo, ≥18 sobre 27 si escala 0–3).  </w:t>
      </w:r>
    </w:p>
    <w:p>
      <w:pPr>
        <w:pStyle w:val="ListNumber"/>
        <w:keepLines w:val="1"/>
        <w:widowControl w:val="1"/>
      </w:pPr>
      <w:r>
        <w:t>Utilizar esas métricas para construir los subíndices de madurez (IoC, Artefactos, TTP, Gobernanza).</w:t>
      </w:r>
    </w:p>
    <w:p>
      <w:r>
        <w:t xml:space="preserve">Se puede utilizar una columna auxiliar en </w:t>
      </w:r>
      <w:r>
        <w:rPr>
          <w:rFonts w:ascii="Courier New" w:hAnsi="Courier New"/>
          <w:sz w:val="18"/>
        </w:rPr>
        <w:t>Catalogo_Metricas</w:t>
      </w:r>
      <w:r>
        <w:t>:</w:t>
      </w:r>
    </w:p>
    <w:p>
      <w:pPr>
        <w:pStyle w:val="ListBullet"/>
        <w:keepLines w:val="1"/>
        <w:widowControl w:val="1"/>
      </w:pPr>
      <w:r>
        <w:t>M: Usar_en_IGM (Sí/No según puntuación PRAGMATIC).</w:t>
      </w:r>
    </w:p>
    <w:p>
      <w:pPr>
        <w:pStyle w:val="Heading3"/>
        <w:keepNext/>
        <w:keepLines/>
      </w:pPr>
      <w:r>
        <w:t>5.2 Cálculo de subíndices</w:t>
      </w:r>
    </w:p>
    <w:p>
      <w:r>
        <w:t>Para cada organización:</w:t>
      </w:r>
    </w:p>
    <w:p>
      <w:pPr>
        <w:pStyle w:val="ListBullet"/>
        <w:keepLines w:val="1"/>
        <w:keepNext w:val="1"/>
        <w:widowControl w:val="1"/>
      </w:pPr>
      <w:r>
        <w:t xml:space="preserve">IGM_IoC_GQM  </w:t>
      </w:r>
    </w:p>
    <w:p>
      <w:pPr>
        <w:pStyle w:val="ListBullet"/>
        <w:keepLines w:val="1"/>
        <w:keepNext w:val="1"/>
        <w:widowControl w:val="1"/>
      </w:pPr>
      <w:r>
        <w:t xml:space="preserve">IGM_Artefactos_GQM  </w:t>
      </w:r>
    </w:p>
    <w:p>
      <w:pPr>
        <w:pStyle w:val="ListBullet"/>
        <w:keepLines w:val="1"/>
        <w:keepNext w:val="1"/>
        <w:widowControl w:val="1"/>
      </w:pPr>
      <w:r>
        <w:t xml:space="preserve">IGM_TTP_GQM  </w:t>
      </w:r>
    </w:p>
    <w:p>
      <w:pPr>
        <w:pStyle w:val="ListBullet"/>
        <w:keepLines w:val="1"/>
        <w:widowControl w:val="1"/>
      </w:pPr>
      <w:r>
        <w:t>IGM_Gobernanza_GQM</w:t>
      </w:r>
    </w:p>
    <w:p>
      <w:r>
        <w:t>Cálculo general (similar al anterior):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=SUMAPRODUCTO(Valores_Metrica_IoC, Pesos_IoC) / SUMA(Pesos_IoC)</w:t>
        <w:br/>
      </w:r>
    </w:p>
    <w:p>
      <w:r>
        <w:t>Donde los pesos pueden ponderar tanto la importancia del objetivo GQM como la puntuación PRAGMATIC.</w:t>
      </w:r>
    </w:p>
    <w:p>
      <w:r>
        <w:t xml:space="preserve">Por ejemplo, un </w:t>
      </w:r>
      <w:r>
        <w:rPr>
          <w:b/>
        </w:rPr>
        <w:t>peso compuesto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Peso_Final = Peso_GQM * (PRAGMATIC_Total / PRAGMATIC_Maximo)</w:t>
        <w:br/>
      </w:r>
    </w:p>
    <w:p>
      <w:r>
        <w:t>Así, las métricas con alto valor PRAGMATIC pesan más en el índice final.</w:t>
      </w:r>
    </w:p>
    <w:p>
      <w:pPr>
        <w:pStyle w:val="Heading2"/>
        <w:keepNext/>
        <w:keepLines/>
      </w:pPr>
      <w:r>
        <w:rPr>
          <w:color w:val="0066CC"/>
        </w:rPr>
        <w:t>6. Hoja ROI</w:t>
      </w:r>
    </w:p>
    <w:p>
      <w:r>
        <w:t>La estructura se mantiene como en la plantilla anterior, pero se recomienda:</w:t>
      </w:r>
    </w:p>
    <w:p>
      <w:pPr>
        <w:pStyle w:val="ListBullet"/>
        <w:keepLines w:val="1"/>
        <w:keepNext w:val="1"/>
        <w:widowControl w:val="1"/>
      </w:pPr>
      <w:r>
        <w:t xml:space="preserve">Referenciar explícitamente las métricas M7.x y M8.x como base de cálculo.  </w:t>
      </w:r>
    </w:p>
    <w:p>
      <w:pPr>
        <w:pStyle w:val="ListBullet"/>
        <w:keepLines w:val="1"/>
        <w:widowControl w:val="1"/>
      </w:pPr>
      <w:r>
        <w:t>Documentar en comentarios o celdas de texto qué objetivos GQM respaldan el modelo de ROI (principalmente G7 y G8).</w:t>
      </w:r>
    </w:p>
    <w:p>
      <w:r>
        <w:t>Ejemplo de referencias:</w:t>
      </w:r>
    </w:p>
    <w:p>
      <w:pPr>
        <w:pStyle w:val="ListBullet"/>
        <w:keepLines w:val="1"/>
        <w:keepNext w:val="1"/>
        <w:widowControl w:val="1"/>
      </w:pPr>
      <w:r>
        <w:t xml:space="preserve">M7.2 (MTTD con detección TTP) → influye en reducción de impacto.  </w:t>
      </w:r>
    </w:p>
    <w:p>
      <w:pPr>
        <w:pStyle w:val="ListBullet"/>
        <w:keepLines w:val="1"/>
        <w:keepNext w:val="1"/>
        <w:widowControl w:val="1"/>
      </w:pPr>
      <w:r>
        <w:t xml:space="preserve">M8.1 (incidentes graves pre/post) → base de ahorro en costes.  </w:t>
      </w:r>
    </w:p>
    <w:p>
      <w:pPr>
        <w:pStyle w:val="ListBullet"/>
        <w:keepLines w:val="1"/>
        <w:widowControl w:val="1"/>
      </w:pPr>
      <w:r>
        <w:t>M8.2 (horas de analista) → ahorro operativo.</w:t>
      </w:r>
    </w:p>
    <w:p>
      <w:pPr>
        <w:pStyle w:val="Heading2"/>
        <w:keepNext/>
        <w:keepLines/>
      </w:pPr>
      <w:r>
        <w:rPr>
          <w:color w:val="0066CC"/>
        </w:rPr>
        <w:t>7. Hoja Resumen_Ejecutivo</w:t>
      </w:r>
    </w:p>
    <w:p>
      <w:r>
        <w:t>Elementos sugeridos:</w:t>
      </w:r>
    </w:p>
    <w:p>
      <w:pPr>
        <w:pStyle w:val="ListBullet"/>
        <w:keepLines w:val="1"/>
        <w:keepNext w:val="1"/>
        <w:widowControl w:val="1"/>
      </w:pPr>
      <w:r>
        <w:t xml:space="preserve">Tabla con los subíndices IGM por nivel de la Pirámide.  </w:t>
      </w:r>
    </w:p>
    <w:p>
      <w:pPr>
        <w:pStyle w:val="ListBullet"/>
        <w:keepLines w:val="1"/>
        <w:keepNext w:val="1"/>
        <w:widowControl w:val="1"/>
      </w:pPr>
      <w:r>
        <w:t xml:space="preserve">Lista de 5–10 métricas “estrella”, con alta puntuación PRAGMATIC, destacadas.  </w:t>
      </w:r>
    </w:p>
    <w:p>
      <w:pPr>
        <w:pStyle w:val="ListBullet"/>
        <w:keepLines w:val="1"/>
        <w:keepNext w:val="1"/>
        <w:widowControl w:val="1"/>
      </w:pPr>
      <w:r>
        <w:t xml:space="preserve">Gráfico sencillo del ROI estimado asociado a la mejora en TTP.  </w:t>
      </w:r>
    </w:p>
    <w:p>
      <w:pPr>
        <w:pStyle w:val="ListBullet"/>
        <w:keepLines w:val="1"/>
        <w:widowControl w:val="1"/>
      </w:pPr>
      <w:r>
        <w:t>Nota textual: “Estas métricas se seleccionan por su alto valor PRAGMATIC (relevancia, accionabilidad y coste razonable).”</w:t>
      </w:r>
    </w:p>
    <w:p>
      <w:pPr>
        <w:pStyle w:val="Heading2"/>
        <w:keepNext/>
        <w:keepLines/>
      </w:pPr>
      <w:r>
        <w:rPr>
          <w:color w:val="0066CC"/>
        </w:rPr>
        <w:t>8. Recomendaciones de implementación</w:t>
      </w:r>
    </w:p>
    <w:p>
      <w:pPr>
        <w:pStyle w:val="ListBullet"/>
        <w:keepLines w:val="1"/>
        <w:keepNext w:val="1"/>
        <w:widowControl w:val="1"/>
      </w:pPr>
      <w:r>
        <w:t xml:space="preserve">No intentar calcular todas las métricas a la vez: empezar por un subconjunto con alta puntuación PRAGMATIC.  </w:t>
      </w:r>
    </w:p>
    <w:p>
      <w:pPr>
        <w:pStyle w:val="ListBullet"/>
        <w:keepLines w:val="1"/>
        <w:keepNext w:val="1"/>
        <w:widowControl w:val="1"/>
      </w:pPr>
      <w:r>
        <w:t xml:space="preserve">Documentar el linaje GQM: tener claro qué objetivo respalda cada indicador en la hoja Catalogo_Metricas.  </w:t>
      </w:r>
    </w:p>
    <w:p>
      <w:pPr>
        <w:pStyle w:val="ListBullet"/>
        <w:keepLines w:val="1"/>
        <w:widowControl w:val="1"/>
      </w:pPr>
      <w:r>
        <w:t>Revisar anual o bianualmente las métricas seleccionadas, para ajustar ponderaciones o introducir nuevas conforme evolucione el contexto.</w:t>
      </w:r>
    </w:p>
    <w:p>
      <w:r>
        <w:t>Si la hoja de cálculo empieza a parecer una novela rusa, es señal de que quizá se han incorporado demasiadas métricas sin pasar la criba PRAGMATIC.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