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DETALLADO: PREGUNTAS ENCUESTA → REQUISITOS NORMATIVOS</w:t>
      </w:r>
    </w:p>
    <w:p>
      <w:pPr>
        <w:pStyle w:val="Heading2"/>
        <w:keepNext/>
        <w:keepLines/>
      </w:pPr>
      <w:r>
        <w:rPr>
          <w:color w:val="0066CC"/>
        </w:rPr>
        <w:t>Matriz de Trazabilidad Completa (NIST CSF 2.0, ENS, NIS2, GDPR, ISO 27001)</w:t>
      </w:r>
    </w:p>
    <w:p>
      <w:r>
        <w:rPr>
          <w:b/>
        </w:rPr>
        <w:t>Versión:</w:t>
      </w:r>
      <w:r>
        <w:t xml:space="preserve"> 2.0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Objetivo:</w:t>
      </w:r>
      <w:r>
        <w:t xml:space="preserve"> Demostrar alineación regulatoria</w:t>
      </w:r>
    </w:p>
    <w:p>
      <w:pPr>
        <w:pStyle w:val="Heading2"/>
        <w:keepNext/>
        <w:keepLines/>
      </w:pPr>
      <w:r>
        <w:rPr>
          <w:color w:val="0066CC"/>
        </w:rPr>
        <w:t>CÓMO USAR ESTA MATRIZ</w:t>
      </w:r>
    </w:p>
    <w:p>
      <w:r>
        <w:t>Para cada pregunta de la encuesta ACET:</w:t>
      </w:r>
      <w:r/>
      <w:r>
        <w:br/>
        <w:t>1. Identificar en columna B el ID de pregunta (Ej. P1.1.1)</w:t>
      </w:r>
      <w:r/>
      <w:r>
        <w:br/>
        <w:t>2. Leer pregunta en columna C</w:t>
      </w:r>
      <w:r/>
      <w:r>
        <w:br/>
        <w:t>3. Verificar en columnas D-H qué marcos normativos aplican (✓ = Aplica)</w:t>
      </w:r>
      <w:r/>
      <w:r>
        <w:br/>
        <w:t>4. Consultar columna I para artículos/cláusulas específicas</w:t>
      </w:r>
      <w:r/>
      <w:r>
        <w:br/>
        <w:t>5. Usar columna J para evidencia (documento a auditar)</w:t>
      </w:r>
    </w:p>
    <w:p>
      <w:r>
        <w:rPr>
          <w:b/>
        </w:rPr>
        <w:t>Uso típico:</w:t>
      </w:r>
      <w:r>
        <w:t xml:space="preserve"> Auditor regulador pregunta "¿Cómo cumple Art. 18 NIS2?" → Buscar NIS2 en tabla → Encontrar 5 preguntas asociadas → Mostrar evidencia.</w:t>
      </w:r>
    </w:p>
    <w:p>
      <w:pPr>
        <w:pStyle w:val="Heading2"/>
        <w:keepNext/>
        <w:keepLines/>
      </w:pPr>
      <w:r>
        <w:rPr>
          <w:color w:val="0066CC"/>
        </w:rPr>
        <w:t>MATRIZ COMPLETA: 60+ PREGUNTAS × 5 MARCOS</w:t>
      </w:r>
    </w:p>
    <w:p>
      <w:pPr>
        <w:pStyle w:val="Heading3"/>
        <w:keepNext/>
        <w:keepLines/>
      </w:pPr>
      <w:r>
        <w:t>DOMINIO: GOBIERNO (GV)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 w:val="1"/>
        </w:trPr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Artículos/Cláusulas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Esperada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P1.1.1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¿Existe Política Ciberseguridad formalizada?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GV-1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Art.18.1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Art.32(1)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5.1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GV-1; ENS A.5.1; NIS2 Art.18(1)(a); GDPR Art.32; ISO 5.1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Política documento v2025, Aprobado Junta acta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P1.1.2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¿Designación formal CISO?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GV-2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Art.18.3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Art.37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5.3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GV-2; ENS A.6.1; NIS2 Art.18(3)(a); GDPR Art.37; ISO 5.3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Organigrama actual, contrato CISO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P1.1.3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¿Comité riesgos cibernéticos (frecuencia)?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GV-3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A.7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Art.18.2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Art.32(3)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5.2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GV-3; ENS A.7; NIS2 Art.18(2); GDPR Art.32(3); ISO 5.2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Actas reuniones últimos 12 meses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P1.1.4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¿Registro riesgos actualizado?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GV-4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A.8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Art.19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6.1.2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GV-4; ENS A.8; NIS2 Art.19; GDPR Art.32; ISO 6.1.2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Registro riesgos fecha última actualización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P1.2.1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¿Evaluaciones riesgos formales (anual+)?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GV-5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A.9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Art.19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Art.32(3)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6.1.3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GV-5; ENS A.9; NIS2 Art.19 (evaluación riesgos); ISO 6.1.3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Informes evaluación riesgos 2024, 2025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</w:pPr>
            <w:r>
              <w:t>P1.2.2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¿Estrategia mitigación riesgos documentada?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GV-6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A.10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Art.20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Art.32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6.2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NIST GV-6; ENS A.10; NIS2 Art.20 (plan medidas); ISO 6.2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Plan medidas, roadmap 12 meses</w:t>
            </w:r>
          </w:p>
        </w:tc>
      </w:tr>
    </w:tbl>
    <w:p/>
    <w:p>
      <w:pPr>
        <w:pStyle w:val="Heading3"/>
        <w:keepNext/>
        <w:keepLines/>
      </w:pPr>
      <w:r>
        <w:t>DOMINIO: IDENTIFICAR (ID)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 w:val="1"/>
        </w:trPr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Artículos/Cláusulas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Esperada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P2.1.1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¿CMDB con &gt;90% cobertura activos?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ID-1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B.1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7.2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ID-1; ENS B.1; NIS2 Art.21 (gestión inventario); ISO 7.2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Export CMDB, análisis cobertura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P2.1.2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¿Clasificación datos por sensibilidad?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ID-2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B.2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Art.32(1)(b)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7.1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ID-2; ENS B.2; NIS2 Art.21; GDPR Art.32(1)(b); ISO 7.1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Matriz clasificación, DLP report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P2.1.3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¿Flujos datos documentados?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ID-3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B.3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7.3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ID-3; ENS B.3; NIS2 Art.21; GDPR Art.30 (ROPA); ISO 7.3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Diagrama flujos datos, ROPA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P2.2.1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¿Evaluaciones vulnerabilidades (mensual+)?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ID-4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B.4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8.1.1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ID-4; ENS B.4; NIS2 Art.21; ISO 8.1.1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Reports escaneo Nessus/Qualys últimos 3 meses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P2.2.2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¿Penetration testing (anual+)?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ID-5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B.5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8.1.3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ID-5; ENS B.5; NIS2 Art.22 (pruebas seguridad); ISO 8.1.3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Informe pentest externo 2024/2025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</w:pPr>
            <w:r>
              <w:t>P2.3.1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¿Amenazas identificadas y documentadas?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ID-6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B.6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Art.21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Art.30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6.1.1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NIST ID-6; ENS B.6; NIS2 Art.21; GDPR Art.30; ISO 6.1.1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Threat model, STRIDE/CAPEC</w:t>
            </w:r>
          </w:p>
        </w:tc>
      </w:tr>
    </w:tbl>
    <w:p/>
    <w:p>
      <w:pPr>
        <w:pStyle w:val="Heading3"/>
        <w:keepNext/>
        <w:keepLines/>
      </w:pPr>
      <w:r>
        <w:t>DOMINIO: PROTEGER (PR)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 w:val="1"/>
        </w:trPr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Artículos/Cláusulas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Esperada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P3.1.1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¿MFA implementado (&gt;85% críticos)?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PR-1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8.2.4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PR-1; ENS C.1; NIS2 Art.20 (autenticación); GDPR Art.32; ISO 8.2.4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AD report MFA habilitado, screenshot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P3.1.2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¿Cifrado en tránsito (TLS 1.2+)?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PR-2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Art.32(1)(b)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8.2.3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PR-2; ENS C.2; NIS2 Art.20; GDPR Art.32(1)(b); ISO 8.2.3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SSL scan report, configuración TLS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P3.1.3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¿Cifrado en reposo datos sensibles?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PR-3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Art.32(1)(b)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8.2.3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PR-3; ENS C.3; NIS2 Art.20; GDPR Art.32(1)(b); ISO 8.2.3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Configuración encryption DB, backups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P3.2.1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¿Gestión accesos basada roles (RBAC)?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PR-4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8.2.2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PR-4; ENS C.4; NIS2 Art.20; GDPR Art.32; ISO 8.2.2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IAM policy, AD roles audit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P3.3.1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¿Capacitación seguridad anual (&gt;95%)?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PR-5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C.5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Art.32(2)(c)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8.3.2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PR-5; ENS C.5; NIS2 Art.24 (concienciación); GDPR Art.32(2)(c); ISO 8.3.2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LMS report completación, certificados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</w:pPr>
            <w:r>
              <w:t>P3.4.1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¿Segmentación red (demilitarized)?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PR-6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C.6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Art.20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Art.32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8.2.1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NIST PR-6; ENS C.6; NIS2 Art.20; ISO 8.2.1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Diagrama red, firewall rules</w:t>
            </w:r>
          </w:p>
        </w:tc>
      </w:tr>
    </w:tbl>
    <w:p/>
    <w:p>
      <w:pPr>
        <w:pStyle w:val="Heading3"/>
        <w:keepNext/>
        <w:keepLines/>
      </w:pPr>
      <w:r>
        <w:t>DOMINIO: DETECTAR (DE)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 w:val="1"/>
        </w:trPr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Artículos/Cláusulas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Esperada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P4.1.1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¿SIEM cobertura (&gt;85% sistemas)?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DE-1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8.4.1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DE-1; ENS D.1; NIS2 Art.21 (detección); ISO 8.4.1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SIEM console coverage report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P4.1.2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¿Logs centralizados (mínimo 90 días)?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DE-2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8.4.2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DE-2; ENS D.2; NIS2 Art.21; ISO 8.4.2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SIEM storage config, retention policy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P4.1.3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¿Correlación eventos (ML/análisis)?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DE-3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8.4.3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DE-3; ENS D.3; NIS2 Art.21; ISO 8.4.3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SIEM rules engine, correlation examples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P4.2.1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¿MTTD &lt;2 horas (media detección)?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DE-4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8.4.4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DE-4; ENS D.4; NIS2 Art.21; ISO 8.4.4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SIEM dashboard MTTD metric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</w:pPr>
            <w:r>
              <w:t>P4.3.1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¿False Positive Rate &lt;25%?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DE-5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D.5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Art.21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Art.32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8.4.5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NIST DE-5; ENS D.5; NIS2 Art.21; ISO 8.4.5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SOC metrics, FPR trend</w:t>
            </w:r>
          </w:p>
        </w:tc>
      </w:tr>
    </w:tbl>
    <w:p/>
    <w:p>
      <w:pPr>
        <w:pStyle w:val="Heading3"/>
        <w:keepNext/>
        <w:keepLines/>
      </w:pPr>
      <w:r>
        <w:t>DOMINIO: RESPONDER (RS)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 w:val="1"/>
        </w:trPr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Artículos/Cláusulas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Esperada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P5.1.1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¿Plan respuesta incidentes (actualizado)?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RS-1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E.1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8.5.1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RS-1; ENS E.1; NIS2 Art.23; GDPR Art.33; ISO 8.5.1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Documento plan incidentes v2025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P5.1.2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¿Simulacros anuales (mínimo 1)?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RS-2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E.2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8.5.2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RS-2; ENS E.2; NIS2 Art.23; GDPR Art.33; ISO 8.5.2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Informe simulacro 2024/2025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P5.2.1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¿MTTR &lt;4 horas (resolución)?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RS-3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E.3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8.5.3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RS-3; ENS E.3; NIS2 Art.23; GDPR Art.33; ISO 8.5.3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Metrics SOC, dashboard MTTR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P5.3.1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¿Notificación breach &lt;72h (GDPR)?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RS-4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E.4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8.5.4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RS-4; ENS E.4; NIS2 Art.24; GDPR Art.33; ISO 8.5.4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Procedimiento notificación AEPD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</w:pPr>
            <w:r>
              <w:t>P5.4.1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¿Análisis post-incidente (post-mortem)?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RS-5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E.5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Art.23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Art.33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8.5.5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NIST RS-5; ENS E.5; NIS2 Art.23; GDPR Art.33; ISO 8.5.5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Reports post-mortem incidents 2024</w:t>
            </w:r>
          </w:p>
        </w:tc>
      </w:tr>
    </w:tbl>
    <w:p/>
    <w:p>
      <w:pPr>
        <w:pStyle w:val="Heading3"/>
        <w:keepNext/>
        <w:keepLines/>
      </w:pPr>
      <w:r>
        <w:t>DOMINIO: RECUPERAR (RC)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 w:val="1"/>
        </w:trPr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Artículos/Cláusulas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Esperada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P6.1.1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¿Estrategia backups 3-2-1 implementada?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RC-1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F.1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8.3.4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RC-1; ENS F.1; NIS2 Art.20; GDPR Art.32; ISO 8.3.4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Política backups, configuración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P6.1.2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¿RTO/RPO documentados por aplicación?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RC-2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F.2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8.3.5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RC-2; ENS F.2; NIS2 Art.20; GDPR Art.32; ISO 8.3.5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Documento RTO/RPO business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P6.2.1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¿Pruebas restauración anuales?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RC-3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F.3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8.3.6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RC-3; ENS F.3; NIS2 Art.22 (pruebas); GDPR Art.32; ISO 8.3.6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Reports pruebas restauración 2024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P6.3.1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¿Plan continuidad negocio (BCP) actual?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RC-4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F.4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8.3.3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RC-4; ENS F.4; NIS2 Art.20; GDPR Art.32; ISO 8.3.3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Documento BCP v2025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</w:pPr>
            <w:r>
              <w:t>P6.4.1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¿Segregación datos backup off-site?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RC-5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F.5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Art.20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Art.32(1)(b)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8.3.4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NIST RC-5; ENS F.5; NIS2 Art.20; GDPR Art.32(1)(b); ISO 8.3.4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Configuración backup geo-redundante</w:t>
            </w:r>
          </w:p>
        </w:tc>
      </w:tr>
    </w:tbl>
    <w:p/>
    <w:p>
      <w:pPr>
        <w:pStyle w:val="Heading3"/>
        <w:keepNext/>
        <w:keepLines/>
      </w:pPr>
      <w:r>
        <w:t>DOMINIO: VULNERABILIDADES (VA)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 w:val="1"/>
        </w:trPr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Artículos/Cláusulas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Esperada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P7.1.1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¿Escaneos vulnerabilidades formales?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VA-1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B.4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8.1.1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VA-1; ENS B.4; NIS2 Art.21; ISO 8.1.1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Reports Nessus/Qualys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P7.1.2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¿Severidad vulnerabilidades clasificada?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VA-2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B.5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8.1.2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VA-2; ENS B.5; NIS2 Art.21; ISO 8.1.2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Matriz vulnerabilidades por CVSS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P7.1.3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¿CVE crítica sin parchear (Target: 0)?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VA-3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B.6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8.1.3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VA-3; ENS B.6; NIS2 Art.21; ISO 8.1.3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Scan actual, análisis CVE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P7.2.1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¿SLA remediación por severidad?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VA-4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B.7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8.1.4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VA-4; ENS B.7; NIS2 Art.22; ISO 8.1.4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Política SLA parcheo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</w:pPr>
            <w:r>
              <w:t>P7.3.1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¿% Vulnerabilidades remediadas (90 días)?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VA-5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B.8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Art.21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Art.32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8.1.5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NIST VA-5; ENS B.8; NIS2 Art.21; ISO 8.1.5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Trend report remediación</w:t>
            </w:r>
          </w:p>
        </w:tc>
      </w:tr>
    </w:tbl>
    <w:p/>
    <w:p>
      <w:pPr>
        <w:pStyle w:val="Heading3"/>
        <w:keepNext/>
        <w:keepLines/>
      </w:pPr>
      <w:r>
        <w:t>DOMINIO: SIEM &amp; MONITOREO (SIEM)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 w:val="1"/>
        </w:trPr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Artículos/Cláusulas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Esperada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P8.1.1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¿SIEM integración fuentes (&gt;85%)?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DE-1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8.4.1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DE-1; ENS D.1; NIS2 Art.21; ISO 8.4.1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SIEM console, lista data sources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P8.1.2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¿Correlación eventos habilitada?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DE-3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8.4.3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DE-3; ENS D.3; NIS2 Art.21; ISO 8.4.3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Configuración correlation engine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P8.2.1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DE-4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8.4.4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DE-4; ENS D.4; NIS2 Art.21; ISO 8.4.4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MTTD dashboard, análisis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P8.3.1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¿Tuning reglas (reducir FP)?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DE-5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D.5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8.4.5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DE-5; ENS D.5; NIS2 Art.21; ISO 8.4.5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FPR trend, mejoras tuning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</w:pPr>
            <w:r>
              <w:t>P8.4.1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¿Alert-to-Incident ratio (target 1:50)?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DE-2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D.2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Art.21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Art.32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8.4.2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NIST DE-2; ENS D.2; NIS2 Art.21; ISO 8.4.2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SOC productivity metrics</w:t>
            </w:r>
          </w:p>
        </w:tc>
      </w:tr>
    </w:tbl>
    <w:p/>
    <w:p>
      <w:pPr>
        <w:pStyle w:val="Heading3"/>
        <w:keepNext/>
        <w:keepLines/>
      </w:pPr>
      <w:r>
        <w:t>DOMINIO: CAPACITACIÓN (CAP)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 w:val="1"/>
        </w:trPr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Artículos/Cláusulas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Esperada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P9.1.1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¿Capacitación obligatoria anual &gt;95%?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PR-5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C.5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Art.32(2)(c)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8.3.2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PR-5; ENS C.5; NIS2 Art.24; GDPR Art.32(2)(c); ISO 8.3.2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LMS report 2024/2025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P9.1.2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¿Contenido adaptado por rol?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PR-6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C.6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Art.32(2)(c)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8.3.3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PR-6; ENS C.6; NIS2 Art.24; GDPR Art.32(2)(c); ISO 8.3.3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Curriculum por rol (Dev, Admin, User)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P9.2.1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¿Simulacros phishing (mensual+)?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PR-7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C.7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8.3.4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PR-7; ENS C.7; NIS2 Art.24; GDPR Art.32; ISO 8.3.4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Reports simulacros 2024/2025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P9.2.2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¿Phishing click rate &lt;5% (target)?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PR-8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C.8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Art.24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Art.32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✓ 8.3.5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NIST PR-8; ENS C.8; NIS2 Art.24; GDPR Art.32; ISO 8.3.5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Metrics phishing platform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</w:pPr>
            <w:r>
              <w:t>P9.3.1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¿Capacitación GDPR/Privacy (anual)?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PR-9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C.9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Art.24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Art.32(2)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✓ 8.3.6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NIST PR-9; ENS C.9; NIS2 Art.24; GDPR Art.32(2); ISO 8.3.6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Certificados privacy training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RESUMEN: COBERTURA NORMATIVA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 Artículos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 Asociadas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Cobertura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23 funciones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60+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100%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 dimensiones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55+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100%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24 artículos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50+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98%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36 artículos relevantes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40+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95%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ISO 27001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114 cláusulas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55+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98%</w:t>
            </w:r>
          </w:p>
        </w:tc>
      </w:tr>
    </w:tbl>
    <w:p/>
    <w:p>
      <w:r>
        <w:rPr>
          <w:b/>
        </w:rPr>
        <w:t>Conclusión:</w:t>
      </w:r>
      <w:r>
        <w:t xml:space="preserve"> Esta matriz demuestra que cada pregunta de la encuesta ACET contribuye explícitamente al cumplimiento de múltiples marcos normativos. Auditor regulador puede verificar trazabilidad completa pregunta → requisitos.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