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INTEGRAL</w:t>
      </w:r>
    </w:p>
    <w:p>
      <w:pPr>
        <w:pStyle w:val="Heading2"/>
        <w:keepNext/>
        <w:keepLines/>
      </w:pPr>
      <w:r>
        <w:rPr>
          <w:color w:val="0066CC"/>
        </w:rPr>
        <w:t>Cálculo de IGM, Análisis, ROI y Recomendaciones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Audiencia:</w:t>
      </w:r>
      <w:r>
        <w:t xml:space="preserve"> CISOs, Responsables GRC, Auditores, Consultores de Ciberseguridad</w:t>
      </w:r>
      <w:r/>
      <w:r>
        <w:br/>
      </w:r>
      <w:r>
        <w:rPr>
          <w:b/>
        </w:rPr>
        <w:t>Metodología:</w:t>
      </w:r>
      <w:r>
        <w:t xml:space="preserve"> GQM (Goal-Question-Metric) + NIST CSF 2.0 + FAIR + Modelo de Madurez INCIBE</w:t>
      </w:r>
    </w:p>
    <w:p>
      <w:pPr>
        <w:pStyle w:val="Heading2"/>
        <w:keepNext/>
        <w:keepLines/>
      </w:pPr>
      <w:r>
        <w:rPr>
          <w:color w:val="0066CC"/>
        </w:rPr>
        <w:t>1. INTRODUCCIÓN METODOLÓGICA</w:t>
      </w:r>
    </w:p>
    <w:p>
      <w:pPr>
        <w:pStyle w:val="Heading3"/>
        <w:keepNext/>
        <w:keepLines/>
      </w:pPr>
      <w:r>
        <w:t>1.1 Marco Teórico: Modelo GQM</w:t>
      </w:r>
    </w:p>
    <w:p>
      <w:r>
        <w:t xml:space="preserve">La </w:t>
      </w:r>
      <w:r>
        <w:rPr>
          <w:b/>
        </w:rPr>
        <w:t>Metodología GQM (Goal-Question-Metric)</w:t>
      </w:r>
      <w:r>
        <w:t xml:space="preserve"> establece un enfoque jerárquico para medir ciberseguridad: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1 (ESTRATÉGICO): METAS</w:t>
        <w:br/>
        <w:t>↓</w:t>
        <w:br/>
        <w:t>NIVEL 2 (TÁCTICO): PREGUNTAS (Objetivos específicos)</w:t>
        <w:br/>
        <w:t>↓</w:t>
        <w:br/>
        <w:t>NIVEL 3 (OPERACIONAL): MÉTRICAS (Datos cuantitativos)</w:t>
        <w:br/>
      </w:r>
    </w:p>
    <w:p>
      <w:r>
        <w:rPr>
          <w:b/>
        </w:rPr>
        <w:t>En el contexto de esta encuesta:</w:t>
      </w:r>
    </w:p>
    <w:p>
      <w:pPr>
        <w:pStyle w:val="ListBullet"/>
        <w:keepLines w:val="1"/>
        <w:keepNext w:val="1"/>
        <w:widowControl w:val="1"/>
      </w:pPr>
      <w:r>
        <w:t>Metas: Evaluar madurez cibernética según NIST CSF 2.0 (Gobernar, Identificar, Proteger, Detectar, Responder, Recuperar)</w:t>
      </w:r>
    </w:p>
    <w:p>
      <w:pPr>
        <w:pStyle w:val="ListBullet"/>
        <w:keepLines w:val="1"/>
        <w:keepNext w:val="1"/>
        <w:widowControl w:val="1"/>
      </w:pPr>
      <w:r>
        <w:t>Preguntas: Secciones 2-11 de la encuesta (preguntas específicas sobre implementación de controles)</w:t>
      </w:r>
    </w:p>
    <w:p>
      <w:pPr>
        <w:pStyle w:val="ListBullet"/>
        <w:keepLines w:val="1"/>
        <w:widowControl w:val="1"/>
      </w:pPr>
      <w:r>
        <w:t>Métricas: Respuestas escaladas (0-5) que componen el Índice Global de Madurez (IGM)</w:t>
      </w:r>
    </w:p>
    <w:p>
      <w:pPr>
        <w:pStyle w:val="Heading3"/>
        <w:keepNext/>
        <w:keepLines/>
      </w:pPr>
      <w:r>
        <w:t>1.2 Alineación con Estándares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Estándar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Cobertura en Encuesta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100% (6 funciones base)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Estratégico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 SP 800-171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60% (controles críticos DoD)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Táctico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ISO 27001:2022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80% (14 dominios cubiertos)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Táctico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NIS2 (Directiva UE)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100% (requisitos esenciales)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Regulatorio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CMMC 2.0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50% (niveles 1-2 cubiertos)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Certificación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FAIR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100% (Sección 12: cuantificación de riesgos)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Análisis de Riesgos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ENS (España)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100% (requisitos públicos)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Normativo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CRA (Ley Ciberresiliencia UE)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70% (productos digitales)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Regulatorio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2. CÁLCULO DEL ÍNDICE GLOBAL DE MADUREZ (IGM)</w:t>
      </w:r>
    </w:p>
    <w:p>
      <w:pPr>
        <w:pStyle w:val="Heading3"/>
        <w:keepNext/>
        <w:keepLines/>
      </w:pPr>
      <w:r>
        <w:t>2.1 Fórmula Base del IGM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(Puntuación GV + Puntuación ID + Puntuación PR + Puntuación DE + Puntuación RS + Puntuación RC) / 6</w:t>
        <w:br/>
      </w:r>
    </w:p>
    <w:p>
      <w:r>
        <w:t>Donde:</w:t>
      </w:r>
      <w:r/>
      <w:r>
        <w:br/>
        <w:t xml:space="preserve">- </w:t>
      </w:r>
      <w:r>
        <w:rPr>
          <w:b/>
        </w:rPr>
        <w:t>GV (Gobernar):</w:t>
      </w:r>
      <w:r>
        <w:t xml:space="preserve"> Secciones 2 + 3 (gobernanza, riesgos)</w:t>
      </w:r>
      <w:r/>
      <w:r>
        <w:br/>
        <w:t xml:space="preserve">- </w:t>
      </w:r>
      <w:r>
        <w:rPr>
          <w:b/>
        </w:rPr>
        <w:t>ID (Identificar):</w:t>
      </w:r>
      <w:r>
        <w:t xml:space="preserve"> Secciones 3 + 10 (vulnerabilidades, supply chain)</w:t>
      </w:r>
      <w:r/>
      <w:r>
        <w:br/>
        <w:t xml:space="preserve">- </w:t>
      </w:r>
      <w:r>
        <w:rPr>
          <w:b/>
        </w:rPr>
        <w:t>PR (Proteger):</w:t>
      </w:r>
      <w:r>
        <w:t xml:space="preserve"> Secciones 4 + 5 + 8 + 11 (controles técnicos, entrenamiento)</w:t>
      </w:r>
      <w:r/>
      <w:r>
        <w:br/>
        <w:t xml:space="preserve">- </w:t>
      </w:r>
      <w:r>
        <w:rPr>
          <w:b/>
        </w:rPr>
        <w:t>DE (Detectar):</w:t>
      </w:r>
      <w:r>
        <w:t xml:space="preserve"> Sección 5 (SIEM, monitorización)</w:t>
      </w:r>
      <w:r/>
      <w:r>
        <w:br/>
        <w:t xml:space="preserve">- </w:t>
      </w:r>
      <w:r>
        <w:rPr>
          <w:b/>
        </w:rPr>
        <w:t>RS (Responder):</w:t>
      </w:r>
      <w:r>
        <w:t xml:space="preserve"> Sección 6 (incidentes, comunicación)</w:t>
      </w:r>
      <w:r/>
      <w:r>
        <w:br/>
        <w:t xml:space="preserve">- </w:t>
      </w:r>
      <w:r>
        <w:rPr>
          <w:b/>
        </w:rPr>
        <w:t>RC (Recuperar):</w:t>
      </w:r>
      <w:r>
        <w:t xml:space="preserve"> Sección 9 (continuidad, DR)</w:t>
      </w:r>
    </w:p>
    <w:p>
      <w:pPr>
        <w:pStyle w:val="Heading3"/>
        <w:keepNext/>
        <w:keepLines/>
      </w:pPr>
      <w:r>
        <w:t>2.2 Escala de Madurez y Conversión</w:t>
      </w:r>
    </w:p>
    <w:p>
      <w:r>
        <w:rPr>
          <w:b/>
        </w:rPr>
        <w:t>Respuestas de Encuesta → Puntuación Numérica (0-5):</w:t>
      </w:r>
    </w:p>
    <w:p>
      <w:r>
        <w:t>Para cada pregunta multi-opción:</w:t>
      </w:r>
      <w:r/>
      <w:r>
        <w:br/>
        <w:t xml:space="preserve">- [ ] </w:t>
      </w:r>
      <w:r>
        <w:rPr>
          <w:b/>
        </w:rPr>
        <w:t>Opción A</w:t>
      </w:r>
      <w:r>
        <w:t xml:space="preserve"> → 0 puntos (Inexistente)</w:t>
      </w:r>
      <w:r/>
      <w:r>
        <w:br/>
        <w:t xml:space="preserve">- [ ] </w:t>
      </w:r>
      <w:r>
        <w:rPr>
          <w:b/>
        </w:rPr>
        <w:t>Opción B</w:t>
      </w:r>
      <w:r>
        <w:t xml:space="preserve"> → 1 punto (Inicial)</w:t>
      </w:r>
      <w:r/>
      <w:r>
        <w:br/>
        <w:t xml:space="preserve">- [ ] </w:t>
      </w:r>
      <w:r>
        <w:rPr>
          <w:b/>
        </w:rPr>
        <w:t>Opción C</w:t>
      </w:r>
      <w:r>
        <w:t xml:space="preserve"> → 2 puntos (Gestionada)</w:t>
      </w:r>
      <w:r/>
      <w:r>
        <w:br/>
        <w:t xml:space="preserve">- [ ] </w:t>
      </w:r>
      <w:r>
        <w:rPr>
          <w:b/>
        </w:rPr>
        <w:t>Opción D</w:t>
      </w:r>
      <w:r>
        <w:t xml:space="preserve"> → 3 puntos (Definida)</w:t>
      </w:r>
      <w:r/>
      <w:r>
        <w:br/>
        <w:t xml:space="preserve">- [ ] </w:t>
      </w:r>
      <w:r>
        <w:rPr>
          <w:b/>
        </w:rPr>
        <w:t>Opción E</w:t>
      </w:r>
      <w:r>
        <w:t xml:space="preserve"> → 4 puntos (Optimizada)</w:t>
      </w:r>
    </w:p>
    <w:p>
      <w:r>
        <w:rPr>
          <w:b/>
        </w:rPr>
        <w:t>Ejemplo Sección 2.1 (Política de Ciberseguridad):</w:t>
      </w:r>
      <w:r/>
      <w:r>
        <w:br/>
        <w:t>- Respuesta marcada: "Política completa, comunicada a toda la organización, revisión anual"</w:t>
      </w:r>
      <w:r/>
      <w:r>
        <w:br/>
        <w:t xml:space="preserve">- Conversión: Opción D → </w:t>
      </w:r>
      <w:r>
        <w:rPr>
          <w:b/>
        </w:rPr>
        <w:t>3 puntos</w:t>
      </w:r>
    </w:p>
    <w:p>
      <w:pPr>
        <w:pStyle w:val="Heading3"/>
        <w:keepNext/>
        <w:keepLines/>
      </w:pPr>
      <w:r>
        <w:t>2.3 Cálculo por Dominio: Promedio Ponderado</w:t>
      </w:r>
    </w:p>
    <w:p>
      <w:r>
        <w:rPr>
          <w:b/>
        </w:rPr>
        <w:t>Dominio GOBERNAR (GV) - Ponderación según NIST CSF: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Puntuación GV = </w:t>
        <w:br/>
        <w:t xml:space="preserve">  (Política Ciberseguridad × 0.25) +</w:t>
        <w:br/>
        <w:t xml:space="preserve">  (Responsabilidades × 0.20) +</w:t>
        <w:br/>
        <w:t xml:space="preserve">  (Cumplimiento Normativo × 0.30) +</w:t>
        <w:br/>
        <w:t xml:space="preserve">  (Modelo Gobernanza Riesgos × 0.15) +</w:t>
        <w:br/>
        <w:t xml:space="preserve">  (Inversión Presupuesto × 0.10)</w:t>
        <w:br/>
      </w:r>
    </w:p>
    <w:p>
      <w:r>
        <w:rPr>
          <w:i/>
        </w:rPr>
        <w:t>Ejemplo Cálculo:</w:t>
      </w:r>
      <w:r/>
      <w:r>
        <w:br/>
        <w:t>- Política: 3 puntos</w:t>
      </w:r>
      <w:r/>
      <w:r>
        <w:br/>
        <w:t>- Responsabilidades: 4 puntos</w:t>
      </w:r>
      <w:r/>
      <w:r>
        <w:br/>
        <w:t>- Cumplimiento: 2 puntos</w:t>
      </w:r>
      <w:r/>
      <w:r>
        <w:br/>
        <w:t>- Gobernanza Riesgos: 3 puntos</w:t>
      </w:r>
      <w:r/>
      <w:r>
        <w:br/>
        <w:t>- Inversión: 2 puntos</w:t>
      </w:r>
    </w:p>
    <w:p>
      <w:r>
        <w:t>GV = (3 × 0.25) + (4 × 0.20) + (2 × 0.30) + (3 × 0.15) + (2 × 0.10)</w:t>
      </w:r>
      <w:r/>
      <w:r>
        <w:br/>
        <w:t xml:space="preserve">GV = 0.75 + 0.80 + 0.60 + 0.45 + 0.20 = </w:t>
      </w:r>
      <w:r>
        <w:rPr>
          <w:b/>
        </w:rPr>
        <w:t>2.8 puntos</w:t>
      </w:r>
    </w:p>
    <w:p>
      <w:r>
        <w:rPr>
          <w:b/>
        </w:rPr>
        <w:t>Dominio IDENTIFICAR (ID) - Ponderación: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Puntuación ID =</w:t>
        <w:br/>
        <w:t xml:space="preserve">  (Inventario de Activos × 0.25) +</w:t>
        <w:br/>
        <w:t xml:space="preserve">  (Evaluación Vulnerabilidades × 0.35) +</w:t>
        <w:br/>
        <w:t xml:space="preserve">  (Ciclo de Vida Vulnerabilidades × 0.25) +</w:t>
        <w:br/>
        <w:t xml:space="preserve">  (CVSS/EPSS × 0.10) +</w:t>
        <w:br/>
        <w:t xml:space="preserve">  (Gap Analysis × 0.05)</w:t>
        <w:br/>
      </w:r>
    </w:p>
    <w:p>
      <w:r>
        <w:rPr>
          <w:b/>
        </w:rPr>
        <w:t>Dominio PROTEGER (PR) - Ponderación: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Puntuación PR =</w:t>
        <w:br/>
        <w:t xml:space="preserve">  (Testing (Pentest) × 0.20) +</w:t>
        <w:br/>
        <w:t xml:space="preserve">  (Scope Testing × 0.15) +</w:t>
        <w:br/>
        <w:t xml:space="preserve">  (Resultados Testing × 0.25) +</w:t>
        <w:br/>
        <w:t xml:space="preserve">  (Controles Técnicos (Sec 8) × 0.20) +</w:t>
        <w:br/>
        <w:t xml:space="preserve">  (Entrenamiento Concienciación × 0.20)</w:t>
        <w:br/>
      </w:r>
    </w:p>
    <w:p>
      <w:r>
        <w:rPr>
          <w:b/>
        </w:rPr>
        <w:t>Dominio DETECTAR (DE) - Ponderación: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Puntuación DE =</w:t>
        <w:br/>
        <w:t xml:space="preserve">  (Arquitectura SIEM × 0.30) +</w:t>
        <w:br/>
        <w:t xml:space="preserve">  (Fuentes Centralizadas × 0.25) +</w:t>
        <w:br/>
        <w:t xml:space="preserve">  (Detección Amenazas × 0.25) +</w:t>
        <w:br/>
        <w:t xml:space="preserve">  (Métricas SIEM (MTTD) × 0.15) +</w:t>
        <w:br/>
        <w:t xml:space="preserve">  (Integración Herramientas × 0.05)</w:t>
        <w:br/>
      </w:r>
    </w:p>
    <w:p>
      <w:r>
        <w:rPr>
          <w:b/>
        </w:rPr>
        <w:t>Dominio RESPONDER (RS) - Ponderación: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Puntuación RS =</w:t>
        <w:br/>
        <w:t xml:space="preserve">  (Plan Respuesta Incidentes × 0.30) +</w:t>
        <w:br/>
        <w:t xml:space="preserve">  (Estructura Equipo × 0.20) +</w:t>
        <w:br/>
        <w:t xml:space="preserve">  (Notificación/Comunicación × 0.25) +</w:t>
        <w:br/>
        <w:t xml:space="preserve">  (Métricas Respuesta (MTTC) × 0.25)</w:t>
        <w:br/>
      </w:r>
    </w:p>
    <w:p>
      <w:r>
        <w:rPr>
          <w:b/>
        </w:rPr>
        <w:t>Dominio RECUPERAR (RC) - Ponderación: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Puntuación RC =</w:t>
        <w:br/>
        <w:t xml:space="preserve">  (Plan DR Documentado × 0.35) +</w:t>
        <w:br/>
        <w:t xml:space="preserve">  (RTO/RPO Definido × 0.30) +</w:t>
        <w:br/>
        <w:t xml:space="preserve">  (Estrategia Backup × 0.25) +</w:t>
        <w:br/>
        <w:t xml:space="preserve">  (Pruebas Recuperación × 0.10)</w:t>
        <w:br/>
      </w:r>
    </w:p>
    <w:p>
      <w:pPr>
        <w:pStyle w:val="Heading3"/>
        <w:keepNext/>
        <w:keepLines/>
      </w:pPr>
      <w:r>
        <w:t>2.4 IGM Final: Cálculo Agregado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(GV + ID + PR + DE + RS + RC) / 6</w:t>
        <w:br/>
        <w:br/>
        <w:t>Ejemplo:</w:t>
        <w:br/>
        <w:t>GV = 2.8</w:t>
        <w:br/>
        <w:t>ID = 3.2</w:t>
        <w:br/>
        <w:t>PR = 3.0</w:t>
        <w:br/>
        <w:t>DE = 2.5</w:t>
        <w:br/>
        <w:t>RS = 3.1</w:t>
        <w:br/>
        <w:t>RC = 2.9</w:t>
        <w:br/>
        <w:br/>
        <w:t>IGM = (2.8 + 3.2 + 3.0 + 2.5 + 3.1 + 2.9) / 6 = 17.5 / 6 = 2.92</w:t>
        <w:br/>
      </w:r>
    </w:p>
    <w:p>
      <w:pPr>
        <w:pStyle w:val="Heading3"/>
        <w:keepNext/>
        <w:keepLines/>
      </w:pPr>
      <w:r>
        <w:t>2.5 Interpretación del IGM: Niveles de Madurez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Rango IGM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Madurez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Riesgo Residual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1.0-1.5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Maturity 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Caótico / Ad Hoc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 (&gt;80%)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1.6-2.4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Maturity 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Inicial / Básico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Muy Alto (60-80%)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2.5-3.4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Maturity 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Gestionado / Repetible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Alto (40-60%)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3.5-4.0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Maturity 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Definido / Formalizado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Medio (20-40%)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4.1-5.0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Maturity 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Optimizado / Adaptativo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Bajo (&lt;20%)</w:t>
            </w:r>
          </w:p>
        </w:tc>
      </w:tr>
    </w:tbl>
    <w:p/>
    <w:p>
      <w:r>
        <w:rPr>
          <w:b/>
        </w:rPr>
        <w:t>Ejemplo Interpretación:</w:t>
      </w:r>
      <w:r/>
      <w:r>
        <w:br/>
        <w:t xml:space="preserve">- IGM = 2.92 → </w:t>
      </w:r>
      <w:r>
        <w:rPr>
          <w:b/>
        </w:rPr>
        <w:t>Maturity 2 (Gestionado)</w:t>
      </w:r>
      <w:r/>
      <w:r>
        <w:br/>
        <w:t>- Riesgo Residual: 40-60%</w:t>
      </w:r>
      <w:r/>
      <w:r>
        <w:br/>
        <w:t>- Conclusión: Controles formalizados pero con gaps significativos. Cumplimiento básico de normativas pero sin optimización.</w:t>
      </w:r>
    </w:p>
    <w:p>
      <w:pPr>
        <w:pStyle w:val="Heading2"/>
        <w:keepNext/>
        <w:keepLines/>
      </w:pPr>
      <w:r>
        <w:rPr>
          <w:color w:val="0066CC"/>
        </w:rPr>
        <w:t>3. ANÁLISIS POR DOMINIO: INTERPRETACIÓN DETALLADA</w:t>
      </w:r>
    </w:p>
    <w:p>
      <w:pPr>
        <w:pStyle w:val="Heading3"/>
        <w:keepNext/>
        <w:keepLines/>
      </w:pPr>
      <w:r>
        <w:t>3.1 Dominio GOBERNAR (Governance)</w:t>
      </w:r>
    </w:p>
    <w:p>
      <w:r>
        <w:rPr>
          <w:b/>
        </w:rPr>
        <w:t>Qué Mide:</w:t>
      </w:r>
      <w:r>
        <w:t xml:space="preserve"> Marco de gobernanza, políticas, responsabilidades ejecutivas, cumplimiento normativo</w:t>
      </w:r>
    </w:p>
    <w:p>
      <w:r>
        <w:rPr>
          <w:b/>
        </w:rPr>
        <w:t>Benchmark por Tamaño Organización: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Tamaño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GV Esperado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Micro/Pequeña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2.0-2.5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Gobernanza básica, sin formalización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Mediana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2.5-3.5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Políticas formales, comité seguridad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Grande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3.5-4.0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CISO ejecutivo, gobernanza estructurada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CRITIS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4.0+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Cumplimiento obligatorio NIS2 + regulaciones</w:t>
            </w:r>
          </w:p>
        </w:tc>
      </w:tr>
    </w:tbl>
    <w:p/>
    <w:p>
      <w:r>
        <w:rPr>
          <w:b/>
        </w:rPr>
        <w:t>Principales Gaps Detectados Comúnmente:</w:t>
      </w:r>
      <w:r/>
      <w:r>
        <w:br/>
        <w:t>- Falta de CISO con autoridad ejecutiva (directa a CEO)</w:t>
      </w:r>
      <w:r/>
      <w:r>
        <w:br/>
        <w:t>- Ausencia de políticas de ciberseguridad documentadas</w:t>
      </w:r>
      <w:r/>
      <w:r>
        <w:br/>
        <w:t>- Desconocimiento de requisitos NIS2/GDPR/ISO 27001</w:t>
      </w:r>
      <w:r/>
      <w:r>
        <w:br/>
        <w:t>- Presupuesto insuficiente (&lt;1% ingresos en grandes empresas)</w:t>
      </w:r>
      <w:r/>
      <w:r>
        <w:br/>
        <w:t>- Comité de gobernanza débil o inexistente</w:t>
      </w:r>
    </w:p>
    <w:p>
      <w:r>
        <w:rPr>
          <w:b/>
        </w:rPr>
        <w:t>Recomendaciones si IGM GV &lt; 3.0:</w:t>
      </w:r>
      <w:r/>
      <w:r>
        <w:br/>
        <w:t>1. Formalizar política de ciberseguridad (30 días)</w:t>
      </w:r>
      <w:r/>
      <w:r>
        <w:br/>
        <w:t>2. Crear comité de gobernanza con C-level (60 días)</w:t>
      </w:r>
      <w:r/>
      <w:r>
        <w:br/>
        <w:t>3. Nombrar CISO con autoridad ejecutiva (90 días)</w:t>
      </w:r>
      <w:r/>
      <w:r>
        <w:br/>
        <w:t>4. Realizar gap analysis vs. NIST CSF 2.0 (120 días)</w:t>
      </w:r>
      <w:r/>
      <w:r>
        <w:br/>
        <w:t>5. Incrementar presupuesto a 2% ingresos (2026)</w:t>
      </w:r>
    </w:p>
    <w:p>
      <w:pPr>
        <w:pStyle w:val="Heading3"/>
        <w:keepNext/>
        <w:keepLines/>
      </w:pPr>
      <w:r>
        <w:t>3.2 Dominio IDENTIFICAR (Asset &amp; Risk Identification)</w:t>
      </w:r>
    </w:p>
    <w:p>
      <w:r>
        <w:rPr>
          <w:b/>
        </w:rPr>
        <w:t>Qué Mide:</w:t>
      </w:r>
      <w:r>
        <w:t xml:space="preserve"> Inventario de activos, evaluación vulnerabilidades, gestión de brechas de seguridad</w:t>
      </w:r>
    </w:p>
    <w:p>
      <w:r>
        <w:rPr>
          <w:b/>
        </w:rPr>
        <w:t>Benchmark por Tamaño: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Tamaño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ID Esperado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Herramientas Típicas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Pequeña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2.0-2.5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Escaneo manual/Nessus básico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Mediana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2.5-3.5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Qualys/Nessus + CMDB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Grande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3.5-4.0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Plataforma VM dedicada + 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CRITIS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4.0+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VM avanzada + FAIR + threat intel</w:t>
            </w:r>
          </w:p>
        </w:tc>
      </w:tr>
    </w:tbl>
    <w:p/>
    <w:p>
      <w:r>
        <w:rPr>
          <w:b/>
        </w:rPr>
        <w:t>Métricas Críticas de IDENTIFICAR:</w:t>
      </w:r>
    </w:p>
    <w:p>
      <w:pPr>
        <w:pStyle w:val="ListNumber"/>
        <w:keepLines w:val="1"/>
        <w:keepNext w:val="1"/>
        <w:widowControl w:val="1"/>
      </w:pPr>
      <w:r>
        <w:t>Cobertura de Inventario (% activos monitorizados):</w:t>
      </w:r>
    </w:p>
    <w:p>
      <w:pPr>
        <w:pStyle w:val="ListNumber"/>
        <w:keepLines w:val="1"/>
        <w:keepNext w:val="1"/>
        <w:widowControl w:val="1"/>
      </w:pPr>
      <w:r>
        <w:t>Target: &gt;90%</w:t>
      </w:r>
    </w:p>
    <w:p>
      <w:pPr>
        <w:pStyle w:val="ListNumber"/>
        <w:keepLines w:val="1"/>
        <w:keepNext w:val="1"/>
        <w:widowControl w:val="1"/>
      </w:pPr>
      <w:r>
        <w:br/>
        <w:t>Si &lt;70%: Gap crítico</w:t>
        <w:br/>
      </w:r>
    </w:p>
    <w:p>
      <w:pPr>
        <w:pStyle w:val="ListNumber"/>
        <w:keepLines w:val="1"/>
        <w:keepNext w:val="1"/>
        <w:widowControl w:val="1"/>
      </w:pPr>
      <w:r>
        <w:br/>
        <w:t>Frecuencia de Escaneo:</w:t>
        <w:br/>
      </w:r>
    </w:p>
    <w:p>
      <w:pPr>
        <w:pStyle w:val="ListNumber"/>
        <w:keepLines w:val="1"/>
        <w:keepNext w:val="1"/>
        <w:widowControl w:val="1"/>
      </w:pPr>
      <w:r>
        <w:t>Crítico: Semanal</w:t>
      </w:r>
    </w:p>
    <w:p>
      <w:pPr>
        <w:pStyle w:val="ListNumber"/>
        <w:keepLines w:val="1"/>
        <w:keepNext w:val="1"/>
        <w:widowControl w:val="1"/>
      </w:pPr>
      <w:r>
        <w:t>Alto: Quincenal</w:t>
      </w:r>
    </w:p>
    <w:p>
      <w:pPr>
        <w:pStyle w:val="ListNumber"/>
        <w:keepLines w:val="1"/>
        <w:keepNext w:val="1"/>
        <w:widowControl w:val="1"/>
      </w:pPr>
      <w:r>
        <w:br/>
        <w:t>Medio: Mensual</w:t>
        <w:br/>
      </w:r>
    </w:p>
    <w:p>
      <w:pPr>
        <w:pStyle w:val="ListNumber"/>
        <w:keepLines w:val="1"/>
        <w:keepNext w:val="1"/>
        <w:widowControl w:val="1"/>
      </w:pPr>
      <w:r>
        <w:br/>
        <w:t>% Vulnerabilidades Críticas:</w:t>
        <w:br/>
      </w:r>
    </w:p>
    <w:p>
      <w:pPr>
        <w:pStyle w:val="ListNumber"/>
        <w:keepLines w:val="1"/>
        <w:keepNext w:val="1"/>
        <w:widowControl w:val="1"/>
      </w:pPr>
      <w:r>
        <w:t>Remediadas en 30 días: Target &gt;80%</w:t>
      </w:r>
    </w:p>
    <w:p>
      <w:pPr>
        <w:pStyle w:val="ListNumber"/>
        <w:keepLines w:val="1"/>
        <w:keepNext w:val="1"/>
        <w:widowControl w:val="1"/>
      </w:pPr>
      <w:r>
        <w:br/>
        <w:t>Pendientes: Max 5-10</w:t>
        <w:br/>
      </w:r>
    </w:p>
    <w:p>
      <w:pPr>
        <w:pStyle w:val="ListNumber"/>
        <w:keepLines w:val="1"/>
        <w:keepNext w:val="1"/>
        <w:widowControl w:val="1"/>
      </w:pPr>
      <w:r>
        <w:br/>
        <w:t>Adopción de EPSS (vs. solo CVSS):</w:t>
        <w:br/>
      </w:r>
    </w:p>
    <w:p>
      <w:pPr>
        <w:pStyle w:val="ListNumber"/>
        <w:keepLines w:val="1"/>
        <w:keepNext w:val="1"/>
        <w:widowControl w:val="1"/>
      </w:pPr>
      <w:r>
        <w:t>No adoptada: IGM ID máximo 2.5</w:t>
      </w:r>
    </w:p>
    <w:p>
      <w:pPr>
        <w:pStyle w:val="ListNumber"/>
        <w:keepLines w:val="1"/>
        <w:keepNext w:val="1"/>
        <w:widowControl w:val="1"/>
      </w:pPr>
      <w:r>
        <w:t>Parcial: IGM ID máximo 3.5</w:t>
      </w:r>
    </w:p>
    <w:p>
      <w:pPr>
        <w:pStyle w:val="ListNumber"/>
        <w:keepLines w:val="1"/>
        <w:widowControl w:val="1"/>
      </w:pPr>
      <w:r>
        <w:t>Total: IGM ID potencial 4.0+</w:t>
      </w:r>
    </w:p>
    <w:p>
      <w:r>
        <w:t>Si &lt;70%: Gap crítico</w:t>
      </w:r>
    </w:p>
    <w:p>
      <w:r>
        <w:rPr>
          <w:b/>
        </w:rPr>
        <w:t>Frecuencia de Escaneo:</w:t>
      </w:r>
    </w:p>
    <w:p>
      <w:r>
        <w:t>Medio: Mensual</w:t>
      </w:r>
    </w:p>
    <w:p>
      <w:r>
        <w:rPr>
          <w:b/>
        </w:rPr>
        <w:t>% Vulnerabilidades Críticas:</w:t>
      </w:r>
    </w:p>
    <w:p>
      <w:r>
        <w:t>Pendientes: Max 5-10</w:t>
      </w:r>
    </w:p>
    <w:p>
      <w:r>
        <w:rPr>
          <w:b/>
        </w:rPr>
        <w:t>Adopción de EPSS (vs. solo CVSS):</w:t>
      </w:r>
    </w:p>
    <w:p>
      <w:r>
        <w:rPr>
          <w:b/>
        </w:rPr>
        <w:t>Recomendaciones si IGM ID &lt; 2.8:</w:t>
      </w:r>
      <w:r/>
      <w:r>
        <w:br/>
        <w:t>1. Implementar escaneo automatizado (Nessus/Qualys)</w:t>
      </w:r>
      <w:r/>
      <w:r>
        <w:br/>
        <w:t>2. Establecer SLA de remediación por severidad</w:t>
      </w:r>
      <w:r/>
      <w:r>
        <w:br/>
        <w:t>3. Adoptar EPSS para priorización basada en riesgo</w:t>
      </w:r>
      <w:r/>
      <w:r>
        <w:br/>
        <w:t>4. Documentar exclusiones de escaneo</w:t>
      </w:r>
      <w:r/>
      <w:r>
        <w:br/>
        <w:t>5. Validar post-remediación (re-testing)</w:t>
      </w:r>
    </w:p>
    <w:p>
      <w:pPr>
        <w:pStyle w:val="Heading3"/>
        <w:keepNext/>
        <w:keepLines/>
      </w:pPr>
      <w:r>
        <w:t>3.3 Dominio PROTEGER (Defensive Controls)</w:t>
      </w:r>
    </w:p>
    <w:p>
      <w:r>
        <w:rPr>
          <w:b/>
        </w:rPr>
        <w:t>Qué Mide:</w:t>
      </w:r>
      <w:r>
        <w:t xml:space="preserve"> Pruebas de penetración, cobertura de testing, controles técnicos, capacitación</w:t>
      </w:r>
    </w:p>
    <w:p>
      <w:r>
        <w:rPr>
          <w:b/>
        </w:rPr>
        <w:t>Benchmark Pentest por CRITIS: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 Organización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Pentest Frecuencia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Coverage Esperado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PR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No CRITIS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Perimetral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2.5-3.0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Operador Importante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Semestral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Perimetral + Internal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3.0-3.5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Operador Esencial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Trimestral + Red Team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100% (incluye OT)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3.5-4.0</w:t>
            </w:r>
          </w:p>
        </w:tc>
      </w:tr>
    </w:tbl>
    <w:p/>
    <w:p>
      <w:r>
        <w:rPr>
          <w:b/>
        </w:rPr>
        <w:t>Métricas de Pentest:</w:t>
      </w:r>
    </w:p>
    <w:p>
      <w:pPr>
        <w:pStyle w:val="ListNumber"/>
        <w:keepLines w:val="1"/>
        <w:keepNext w:val="1"/>
        <w:widowControl w:val="1"/>
      </w:pPr>
      <w:r>
        <w:t>Tasa de Remediación (post-pentest):</w:t>
      </w:r>
    </w:p>
    <w:p>
      <w:pPr>
        <w:pStyle w:val="ListNumber"/>
        <w:keepLines w:val="1"/>
        <w:keepNext w:val="1"/>
        <w:widowControl w:val="1"/>
      </w:pPr>
      <w:r>
        <w:t>Críticas en 30 días: Target &gt;80%</w:t>
      </w:r>
    </w:p>
    <w:p>
      <w:pPr>
        <w:pStyle w:val="ListNumber"/>
        <w:keepLines w:val="1"/>
        <w:keepNext w:val="1"/>
        <w:widowControl w:val="1"/>
      </w:pPr>
      <w:r>
        <w:t>Altas en 60 días: Target &gt;80%</w:t>
      </w:r>
    </w:p>
    <w:p>
      <w:pPr>
        <w:pStyle w:val="ListNumber"/>
        <w:keepLines w:val="1"/>
        <w:keepNext w:val="1"/>
        <w:widowControl w:val="1"/>
      </w:pPr>
      <w:r>
        <w:br/>
        <w:t>Si &lt;60%: Gap de capacidad respuesta</w:t>
        <w:br/>
      </w:r>
    </w:p>
    <w:p>
      <w:pPr>
        <w:pStyle w:val="ListNumber"/>
        <w:keepLines w:val="1"/>
        <w:keepNext w:val="1"/>
        <w:widowControl w:val="1"/>
      </w:pPr>
      <w:r>
        <w:br/>
        <w:t>Hallazgos por Pentest:</w:t>
        <w:br/>
      </w:r>
    </w:p>
    <w:p>
      <w:pPr>
        <w:pStyle w:val="ListNumber"/>
        <w:keepLines w:val="1"/>
        <w:keepNext w:val="1"/>
        <w:widowControl w:val="1"/>
      </w:pPr>
      <w:r>
        <w:t>Rango típico: 15-30 hallazgos/pentest</w:t>
      </w:r>
    </w:p>
    <w:p>
      <w:pPr>
        <w:pStyle w:val="ListNumber"/>
        <w:keepLines w:val="1"/>
        <w:keepNext w:val="1"/>
        <w:widowControl w:val="1"/>
      </w:pPr>
      <w:r>
        <w:t>Si &gt;50: Postura débil (IGM PR &lt;2.5)</w:t>
      </w:r>
    </w:p>
    <w:p>
      <w:pPr>
        <w:pStyle w:val="ListNumber"/>
        <w:keepLines w:val="1"/>
        <w:keepNext w:val="1"/>
        <w:widowControl w:val="1"/>
      </w:pPr>
      <w:r>
        <w:br/>
        <w:t>Si &lt;5: Posible scope limitado</w:t>
        <w:br/>
      </w:r>
    </w:p>
    <w:p>
      <w:pPr>
        <w:pStyle w:val="ListNumber"/>
        <w:keepLines w:val="1"/>
        <w:keepNext w:val="1"/>
        <w:widowControl w:val="1"/>
      </w:pPr>
      <w:r>
        <w:br/>
        <w:t>Cobertura de Testing:</w:t>
        <w:br/>
      </w:r>
    </w:p>
    <w:p>
      <w:pPr>
        <w:pStyle w:val="ListNumber"/>
        <w:keepLines w:val="1"/>
        <w:keepNext w:val="1"/>
        <w:widowControl w:val="1"/>
      </w:pPr>
      <w:r>
        <w:t>Solo perimetral: IGM PR máximo 2.5</w:t>
      </w:r>
    </w:p>
    <w:p>
      <w:pPr>
        <w:pStyle w:val="ListNumber"/>
        <w:keepLines w:val="1"/>
        <w:keepNext w:val="1"/>
        <w:widowControl w:val="1"/>
      </w:pPr>
      <w:r>
        <w:t>Perimetral + interno: IGM PR máximo 3.0</w:t>
      </w:r>
    </w:p>
    <w:p>
      <w:pPr>
        <w:pStyle w:val="ListNumber"/>
        <w:keepLines w:val="1"/>
        <w:widowControl w:val="1"/>
      </w:pPr>
      <w:r>
        <w:t>Incluye OT/cloud/APIs: IGM PR potencial 4.0+</w:t>
      </w:r>
    </w:p>
    <w:p>
      <w:r>
        <w:t>Si &lt;60%: Gap de capacidad respuesta</w:t>
      </w:r>
    </w:p>
    <w:p>
      <w:r>
        <w:rPr>
          <w:b/>
        </w:rPr>
        <w:t>Hallazgos por Pentest:</w:t>
      </w:r>
    </w:p>
    <w:p>
      <w:r>
        <w:t>Si &lt;5: Posible scope limitado</w:t>
      </w:r>
    </w:p>
    <w:p>
      <w:r>
        <w:rPr>
          <w:b/>
        </w:rPr>
        <w:t>Cobertura de Testing:</w:t>
      </w:r>
    </w:p>
    <w:p>
      <w:r>
        <w:rPr>
          <w:b/>
        </w:rPr>
        <w:t>Recomendaciones si IGM PR &lt; 3.0:</w:t>
      </w:r>
      <w:r/>
      <w:r>
        <w:br/>
        <w:t>1. Implementar pentest externo anual mínimo (60 días)</w:t>
      </w:r>
      <w:r/>
      <w:r>
        <w:br/>
        <w:t>2. Agregar pentest interno semestral (120 días)</w:t>
      </w:r>
      <w:r/>
      <w:r>
        <w:br/>
        <w:t>3. Establecer SLA remediación por severidad</w:t>
      </w:r>
      <w:r/>
      <w:r>
        <w:br/>
        <w:t>4. Formalizar red team exercises (6 meses)</w:t>
      </w:r>
      <w:r/>
      <w:r>
        <w:br/>
        <w:t>5. Adoptar bug bounty program (si aplicable)</w:t>
      </w:r>
    </w:p>
    <w:p>
      <w:pPr>
        <w:pStyle w:val="Heading3"/>
        <w:keepNext/>
        <w:keepLines/>
      </w:pPr>
      <w:r>
        <w:t>3.4 Dominio DETECTAR (Detection &amp; Monitoring)</w:t>
      </w:r>
    </w:p>
    <w:p>
      <w:r>
        <w:rPr>
          <w:b/>
        </w:rPr>
        <w:t>Qué Mide:</w:t>
      </w:r>
      <w:r>
        <w:t xml:space="preserve"> SIEM, centralización de logs, reglas de detección, MTTD</w:t>
      </w:r>
    </w:p>
    <w:p>
      <w:r>
        <w:rPr>
          <w:b/>
        </w:rPr>
        <w:t>Benchmark SIEM Madurez: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Madurez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Arquitectura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Cobertura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Alertas/Día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DE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Ausente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No existe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0-1.0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Básica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SIEM manual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30-50%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5-20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1.5-2.0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Establecida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SIEM con reglas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70-90%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20-50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2.5-3.0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Avanzada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SIEM + SOAR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90-100%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10-30 (filtradas)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3.5-4.0</w:t>
            </w:r>
          </w:p>
        </w:tc>
      </w:tr>
    </w:tbl>
    <w:p/>
    <w:p>
      <w:r>
        <w:rPr>
          <w:b/>
        </w:rPr>
        <w:t>MTTD (Mean Time To Detect):</w:t>
      </w:r>
    </w:p>
    <w:p>
      <w:pPr>
        <w:pStyle w:val="ListBullet"/>
        <w:keepLines w:val="1"/>
        <w:keepNext w:val="1"/>
        <w:widowControl w:val="1"/>
      </w:pPr>
      <w:r>
        <w:t>Target CRITIS: &lt;15 minutos</w:t>
      </w:r>
    </w:p>
    <w:p>
      <w:pPr>
        <w:pStyle w:val="ListBullet"/>
        <w:keepLines w:val="1"/>
        <w:keepNext w:val="1"/>
        <w:widowControl w:val="1"/>
      </w:pPr>
      <w:r>
        <w:t>Target Empresarial: &lt;1 hora</w:t>
      </w:r>
    </w:p>
    <w:p>
      <w:pPr>
        <w:pStyle w:val="ListBullet"/>
        <w:keepLines w:val="1"/>
        <w:widowControl w:val="1"/>
      </w:pPr>
      <w:r>
        <w:t>Actual Promedio España: 2-4 horas (datos INCIBE 2024)</w:t>
      </w:r>
    </w:p>
    <w:p>
      <w:r>
        <w:rPr>
          <w:b/>
        </w:rPr>
        <w:t>Falsos Positivos (False Positive Rate):</w:t>
      </w:r>
    </w:p>
    <w:p>
      <w:pPr>
        <w:pStyle w:val="ListBullet"/>
        <w:keepLines w:val="1"/>
        <w:keepNext w:val="1"/>
        <w:widowControl w:val="1"/>
      </w:pPr>
      <w:r>
        <w:t>Target: &lt;5% alertas</w:t>
      </w:r>
    </w:p>
    <w:p>
      <w:pPr>
        <w:pStyle w:val="ListBullet"/>
        <w:keepLines w:val="1"/>
        <w:keepNext w:val="1"/>
        <w:widowControl w:val="1"/>
      </w:pPr>
      <w:r>
        <w:t>Actual Promedio: 20-40% (sin tunning)</w:t>
      </w:r>
    </w:p>
    <w:p>
      <w:pPr>
        <w:pStyle w:val="ListBullet"/>
        <w:keepLines w:val="1"/>
        <w:widowControl w:val="1"/>
      </w:pPr>
      <w:r>
        <w:t>Si &gt;50%: SIEM sobrealertado, riesgo de fatigas analista</w:t>
      </w:r>
    </w:p>
    <w:p>
      <w:r>
        <w:rPr>
          <w:b/>
        </w:rPr>
        <w:t>Recomendaciones si IGM DE &lt; 2.5:</w:t>
      </w:r>
      <w:r/>
      <w:r>
        <w:br/>
        <w:t>1. Implementar SIEM centralizado (90 días)</w:t>
      </w:r>
      <w:r/>
      <w:r>
        <w:br/>
        <w:t>2. Conectar 90%+ fuentes de logs (120 días)</w:t>
      </w:r>
      <w:r/>
      <w:r>
        <w:br/>
        <w:t>3. Crear 50+ reglas de detección básicas (150 días)</w:t>
      </w:r>
      <w:r/>
      <w:r>
        <w:br/>
        <w:t>4. Optimizar alertas (reducir falsos positivos &lt;10%) (180 días)</w:t>
      </w:r>
      <w:r/>
      <w:r>
        <w:br/>
        <w:t>5. Integrar SOAR para automatización (240 días)</w:t>
      </w:r>
    </w:p>
    <w:p>
      <w:pPr>
        <w:pStyle w:val="Heading3"/>
        <w:keepNext/>
        <w:keepLines/>
      </w:pPr>
      <w:r>
        <w:t>3.5 Dominio RESPONDER (Response &amp; Recovery)</w:t>
      </w:r>
    </w:p>
    <w:p>
      <w:r>
        <w:rPr>
          <w:b/>
        </w:rPr>
        <w:t>Qué Mide:</w:t>
      </w:r>
      <w:r>
        <w:t xml:space="preserve"> Plan de respuesta, equipos, notificación, MTTC</w:t>
      </w:r>
    </w:p>
    <w:p>
      <w:r>
        <w:rPr>
          <w:b/>
        </w:rPr>
        <w:t>Benchmark Métricas de Respuesta: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Actual España (2024)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Gap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MTTC (contención)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&lt;4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6-8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+50%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Notificación inicial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&lt;24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24-48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+100%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Reporte preliminar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&lt;72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5-7 días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+100%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% planes formales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&gt;90%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64% (encuestas)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-26%</w:t>
            </w:r>
          </w:p>
        </w:tc>
      </w:tr>
    </w:tbl>
    <w:p/>
    <w:p>
      <w:r>
        <w:rPr>
          <w:b/>
        </w:rPr>
        <w:t>Checklist Plan de Respuesta Completo:</w:t>
      </w:r>
    </w:p>
    <w:p>
      <w:pPr>
        <w:pStyle w:val="ListBullet"/>
        <w:keepLines w:val="1"/>
        <w:keepNext w:val="1"/>
        <w:widowControl w:val="1"/>
      </w:pPr>
      <w:r>
        <w:t>[ ] Procedimientos formales documentados</w:t>
      </w:r>
    </w:p>
    <w:p>
      <w:pPr>
        <w:pStyle w:val="ListBullet"/>
        <w:keepLines w:val="1"/>
        <w:keepNext w:val="1"/>
        <w:widowControl w:val="1"/>
      </w:pPr>
      <w:r>
        <w:t>[ ] Roles/responsables designados</w:t>
      </w:r>
    </w:p>
    <w:p>
      <w:pPr>
        <w:pStyle w:val="ListBullet"/>
        <w:keepLines w:val="1"/>
        <w:keepNext w:val="1"/>
        <w:widowControl w:val="1"/>
      </w:pPr>
      <w:r>
        <w:t>[ ] Plazos de notificación definidos (NIS2: 24/72/30 días)</w:t>
      </w:r>
    </w:p>
    <w:p>
      <w:pPr>
        <w:pStyle w:val="ListBullet"/>
        <w:keepLines w:val="1"/>
        <w:keepNext w:val="1"/>
        <w:widowControl w:val="1"/>
      </w:pPr>
      <w:r>
        <w:t>[ ] Equipo técnico disponible 24/7 (o SOC)</w:t>
      </w:r>
    </w:p>
    <w:p>
      <w:pPr>
        <w:pStyle w:val="ListBullet"/>
        <w:keepLines w:val="1"/>
        <w:keepNext w:val="1"/>
        <w:widowControl w:val="1"/>
      </w:pPr>
      <w:r>
        <w:t>[ ] Abogado/Legal en equipo crisis</w:t>
      </w:r>
    </w:p>
    <w:p>
      <w:pPr>
        <w:pStyle w:val="ListBullet"/>
        <w:keepLines w:val="1"/>
        <w:keepNext w:val="1"/>
        <w:widowControl w:val="1"/>
      </w:pPr>
      <w:r>
        <w:t>[ ] Executive sponsor (C-level)</w:t>
      </w:r>
    </w:p>
    <w:p>
      <w:pPr>
        <w:pStyle w:val="ListBullet"/>
        <w:keepLines w:val="1"/>
        <w:keepNext w:val="1"/>
        <w:widowControl w:val="1"/>
      </w:pPr>
      <w:r>
        <w:t>[ ] Simulacros anuales</w:t>
      </w:r>
    </w:p>
    <w:p>
      <w:pPr>
        <w:pStyle w:val="ListBullet"/>
        <w:keepLines w:val="1"/>
        <w:widowControl w:val="1"/>
      </w:pPr>
      <w:r>
        <w:t>[ ] Feedback de incidentes integrado</w:t>
      </w:r>
    </w:p>
    <w:p>
      <w:r>
        <w:rPr>
          <w:b/>
        </w:rPr>
        <w:t>Recomendaciones si IGM RS &lt; 2.8:</w:t>
      </w:r>
      <w:r/>
      <w:r>
        <w:br/>
        <w:t>1. Documentar plan formal (60 días)</w:t>
      </w:r>
      <w:r/>
      <w:r>
        <w:br/>
        <w:t>2. Crear comité de crisis (30 días)</w:t>
      </w:r>
      <w:r/>
      <w:r>
        <w:br/>
        <w:t>3. Designar roles (IC, Forensics, Comms)</w:t>
      </w:r>
      <w:r/>
      <w:r>
        <w:br/>
        <w:t>4. Realizar simulacro (150 días)</w:t>
      </w:r>
      <w:r/>
      <w:r>
        <w:br/>
        <w:t>5. Integrar con herramientas (SIEM alert → ticket)</w:t>
      </w:r>
    </w:p>
    <w:p>
      <w:pPr>
        <w:pStyle w:val="Heading3"/>
        <w:keepNext/>
        <w:keepLines/>
      </w:pPr>
      <w:r>
        <w:t>3.6 Dominio RECUPERAR (Continuity &amp; Recovery)</w:t>
      </w:r>
    </w:p>
    <w:p>
      <w:r>
        <w:rPr>
          <w:b/>
        </w:rPr>
        <w:t>Qué Mide:</w:t>
      </w:r>
      <w:r>
        <w:t xml:space="preserve"> DR, RTO/RPO, backups, pruebas de recuperación</w:t>
      </w:r>
    </w:p>
    <w:p>
      <w:r>
        <w:rPr>
          <w:b/>
        </w:rPr>
        <w:t>Benchmark RTO/RPO por CRITIS: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RTO Target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RPO Target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Actualización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Crítica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≤4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≤1 hora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DS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Alta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≤24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≤4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Media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≤72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≤24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Anual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Baja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≤1 semana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≤1 semana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Anual</w:t>
            </w:r>
          </w:p>
        </w:tc>
      </w:tr>
    </w:tbl>
    <w:p/>
    <w:p>
      <w:r>
        <w:rPr>
          <w:b/>
        </w:rPr>
        <w:t>NIS2 Requisito:</w:t>
      </w:r>
      <w:r>
        <w:t xml:space="preserve"> RTO/RPO ≤72 horas para operadores esenciales</w:t>
      </w:r>
    </w:p>
    <w:p>
      <w:r>
        <w:rPr>
          <w:b/>
        </w:rPr>
        <w:t>Backup Madurez: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Copias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Aire-Gap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Testing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RC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Básico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Diaria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Nunca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1.5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Mejorado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Diaria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2.5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Sólido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Diaria + semanal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Sí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3.5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Resiliente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Diaria/semanal/mensual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3+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Sí + segregado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Mensual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4.0</w:t>
            </w:r>
          </w:p>
        </w:tc>
      </w:tr>
    </w:tbl>
    <w:p/>
    <w:p>
      <w:r>
        <w:rPr>
          <w:b/>
        </w:rPr>
        <w:t>Recomendaciones si IGM RC &lt; 2.8:</w:t>
      </w:r>
      <w:r/>
      <w:r>
        <w:br/>
        <w:t>1. Formalizar RTO/RPO por aplicación (60 días)</w:t>
      </w:r>
      <w:r/>
      <w:r>
        <w:br/>
        <w:t>2. Implementar backup aire-gapped (120 días)</w:t>
      </w:r>
      <w:r/>
      <w:r>
        <w:br/>
        <w:t>3. Automatizar pruebas mensuales (150 días)</w:t>
      </w:r>
      <w:r/>
      <w:r>
        <w:br/>
        <w:t>4. Documentar procedimientos recuperación (180 días)</w:t>
      </w:r>
      <w:r/>
      <w:r>
        <w:br/>
        <w:t>5. Implementar cyber recovery separado de DR (240 días)</w:t>
      </w:r>
    </w:p>
    <w:p>
      <w:pPr>
        <w:pStyle w:val="Heading2"/>
        <w:keepNext/>
        <w:keepLines/>
      </w:pPr>
      <w:r>
        <w:rPr>
          <w:color w:val="0066CC"/>
        </w:rPr>
        <w:t>4. CÁLCULO DE ROI EN CIBERSEGURIDAD</w:t>
      </w:r>
    </w:p>
    <w:p>
      <w:pPr>
        <w:pStyle w:val="Heading3"/>
        <w:keepNext/>
        <w:keepLines/>
      </w:pPr>
      <w:r>
        <w:t>4.1 Metodología ROSI (Return on Security Investment)</w:t>
      </w:r>
    </w:p>
    <w:p>
      <w:r>
        <w:rPr>
          <w:b/>
        </w:rPr>
        <w:t>Fórmula Básica: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ROSI (%) = (Reducción Riesgo - Costo Solución) / Costo Solución × 100</w:t>
        <w:br/>
      </w:r>
    </w:p>
    <w:p>
      <w:r>
        <w:rPr>
          <w:b/>
        </w:rPr>
        <w:t>Ejemplo Cuantificado:</w:t>
      </w:r>
    </w:p>
    <w:p>
      <w:pPr>
        <w:pStyle w:val="ListBullet"/>
        <w:keepLines w:val="1"/>
        <w:keepNext w:val="1"/>
        <w:widowControl w:val="1"/>
      </w:pPr>
      <w:r>
        <w:t>Riesgo teórico anual (probabilidad × impacto): €2,000,000</w:t>
      </w:r>
    </w:p>
    <w:p>
      <w:pPr>
        <w:pStyle w:val="ListBullet"/>
        <w:keepLines w:val="1"/>
        <w:keepNext w:val="1"/>
        <w:widowControl w:val="1"/>
      </w:pPr>
      <w:r>
        <w:t>Probabilidad ataque ransomware: 20%</w:t>
      </w:r>
    </w:p>
    <w:p>
      <w:pPr>
        <w:pStyle w:val="ListBullet"/>
        <w:keepLines w:val="1"/>
        <w:keepNext w:val="1"/>
        <w:widowControl w:val="1"/>
      </w:pPr>
      <w:r>
        <w:t>Impacto promedio ransomware: €10,000,000</w:t>
      </w:r>
    </w:p>
    <w:p>
      <w:pPr>
        <w:pStyle w:val="ListBullet"/>
        <w:keepLines w:val="1"/>
        <w:keepNext w:val="1"/>
        <w:widowControl w:val="1"/>
      </w:pPr>
      <w:r>
        <w:br/>
        <w:t>ALE (Annual Loss Expectation): 0.20 × €10M = €2M</w:t>
        <w:br/>
      </w:r>
    </w:p>
    <w:p>
      <w:pPr>
        <w:pStyle w:val="ListBullet"/>
        <w:keepLines w:val="1"/>
        <w:keepNext w:val="1"/>
        <w:widowControl w:val="1"/>
      </w:pPr>
      <w:r>
        <w:br/>
        <w:t>Reducción riesgo con solución (EDR/XDR): 80% (datos Sophos 2025)</w:t>
        <w:br/>
      </w:r>
    </w:p>
    <w:p>
      <w:pPr>
        <w:pStyle w:val="ListBullet"/>
        <w:keepLines w:val="1"/>
        <w:keepNext w:val="1"/>
        <w:widowControl w:val="1"/>
      </w:pPr>
      <w:r>
        <w:br/>
        <w:t>Riesgo mitigado: €2M × 0.80 = €1,600,000</w:t>
        <w:br/>
      </w:r>
    </w:p>
    <w:p>
      <w:pPr>
        <w:pStyle w:val="ListBullet"/>
        <w:keepLines w:val="1"/>
        <w:keepNext w:val="1"/>
        <w:widowControl w:val="1"/>
      </w:pPr>
      <w:r>
        <w:br/>
        <w:t>Costo implementación EDR/XDR (1.000 endpoints):</w:t>
        <w:br/>
      </w:r>
    </w:p>
    <w:p>
      <w:pPr>
        <w:pStyle w:val="ListBullet"/>
        <w:keepLines w:val="1"/>
        <w:keepNext w:val="1"/>
        <w:widowControl w:val="1"/>
      </w:pPr>
      <w:r>
        <w:t>Licencias: €50,000/año</w:t>
      </w:r>
    </w:p>
    <w:p>
      <w:pPr>
        <w:pStyle w:val="ListBullet"/>
        <w:keepLines w:val="1"/>
        <w:keepNext w:val="1"/>
        <w:widowControl w:val="1"/>
      </w:pPr>
      <w:r>
        <w:t>Implementación: €30,000</w:t>
      </w:r>
    </w:p>
    <w:p>
      <w:pPr>
        <w:pStyle w:val="ListBullet"/>
        <w:keepLines w:val="1"/>
        <w:keepNext w:val="1"/>
        <w:widowControl w:val="1"/>
      </w:pPr>
      <w:r>
        <w:t>Training: €10,000</w:t>
      </w:r>
    </w:p>
    <w:p>
      <w:pPr>
        <w:pStyle w:val="ListBullet"/>
        <w:keepLines w:val="1"/>
        <w:widowControl w:val="1"/>
      </w:pPr>
      <w:r>
        <w:t>Total Año 1: €90,000</w:t>
      </w:r>
    </w:p>
    <w:p>
      <w:r>
        <w:t>ALE (Annual Loss Expectation): 0.20 × €10M = €2M</w:t>
      </w:r>
    </w:p>
    <w:p>
      <w:r>
        <w:rPr>
          <w:b/>
        </w:rPr>
        <w:t>Reducción riesgo con solución (EDR/XDR):</w:t>
      </w:r>
      <w:r>
        <w:t xml:space="preserve"> 80% (datos Sophos 2025)</w:t>
      </w:r>
    </w:p>
    <w:p>
      <w:r>
        <w:t>Riesgo mitigado: €2M × 0.80 = €1,600,000</w:t>
      </w:r>
    </w:p>
    <w:p>
      <w:r>
        <w:rPr>
          <w:b/>
        </w:rPr>
        <w:t>Costo implementación EDR/XDR (1.000 endpoints):</w:t>
      </w:r>
    </w:p>
    <w:p>
      <w:r>
        <w:rPr>
          <w:b/>
        </w:rPr>
        <w:t>Cálculo ROSI Año 1: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ROSI = (€1,600,000 - €90,000) / €90,000 × 100</w:t>
        <w:br/>
        <w:t>ROSI = €1,510,000 / €90,000 × 100 = 1.677% = 1,677% ROI</w:t>
        <w:br/>
      </w:r>
    </w:p>
    <w:p>
      <w:r>
        <w:rPr>
          <w:b/>
        </w:rPr>
        <w:t>Payback Period:</w:t>
      </w:r>
      <w:r>
        <w:t xml:space="preserve"> €90,000 / (€1,600,000 / 365) = 20 días</w:t>
      </w:r>
    </w:p>
    <w:p>
      <w:pPr>
        <w:pStyle w:val="Heading3"/>
        <w:keepNext/>
        <w:keepLines/>
      </w:pPr>
      <w:r>
        <w:t>4.2 Modelo de Cálculo por Solución Típica</w:t>
      </w:r>
    </w:p>
    <w:p>
      <w:pPr>
        <w:pStyle w:val="Heading4"/>
        <w:keepNext/>
        <w:keepLines/>
      </w:pPr>
      <w:r>
        <w:t>EDR/XDR Implementation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Costo:</w:t>
        <w:br/>
        <w:t>- Licencias (por endpoint): €50-100/año</w:t>
        <w:br/>
        <w:t>- Implementación (global): €30,000-100,000</w:t>
        <w:br/>
        <w:t>- Training + SOC integration: €10,000-30,000</w:t>
        <w:br/>
        <w:t>Total Año 1: €100,000-250,000</w:t>
        <w:br/>
        <w:br/>
        <w:t>Beneficios (30% menos incidentes):</w:t>
        <w:br/>
        <w:t>- Reducción tiempo detección: 60-80% (MTTD 6h → 1h)</w:t>
        <w:br/>
        <w:t>- Reducción impacto por incidente: 60% (€500k → €200k)</w:t>
        <w:br/>
        <w:t>- Costo evitado por incidente evitado: €1-3M</w:t>
        <w:br/>
        <w:t>- Predicción evitar 3-5 incidentes/año: €3-15M</w:t>
        <w:br/>
        <w:br/>
        <w:t>ROSI Esperado: 800-1,500%</w:t>
        <w:br/>
      </w:r>
    </w:p>
    <w:p>
      <w:pPr>
        <w:pStyle w:val="Heading4"/>
        <w:keepNext/>
        <w:keepLines/>
      </w:pPr>
      <w:r>
        <w:t>SIEM Implementation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Costo:</w:t>
        <w:br/>
        <w:t>- Licencias (EPS): €50-150/EPS (1,000-5,000 EPS típico)</w:t>
        <w:br/>
        <w:t>- Implementación: €50,000-200,000</w:t>
        <w:br/>
        <w:t>- Integration + rules: €30,000-80,000</w:t>
        <w:br/>
        <w:t>Total Año 1: €200,000-600,000</w:t>
        <w:br/>
        <w:br/>
        <w:t>Beneficios (centralización logs, detección):</w:t>
        <w:br/>
        <w:t>- Compliance audit cost reduction: 40% (€50k → €30k)</w:t>
        <w:br/>
        <w:t>- Forensics acceleration: 50% (€100k → €50k)</w:t>
        <w:br/>
        <w:t>- Response time improvement: 60% (MTTC 6h → 2.4h)</w:t>
        <w:br/>
        <w:t>- Incidents detected: 2-3 más/año</w:t>
        <w:br/>
        <w:br/>
        <w:t>ROSI Esperado: 300-600%</w:t>
        <w:br/>
      </w:r>
    </w:p>
    <w:p>
      <w:pPr>
        <w:pStyle w:val="Heading4"/>
        <w:keepNext/>
        <w:keepLines/>
      </w:pPr>
      <w:r>
        <w:t>MFA Implementation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Costo:</w:t>
        <w:br/>
        <w:t>- Hardware tokens/software licenses: €10-20/usuario</w:t>
        <w:br/>
        <w:t>- Implementación (5,000 usuarios): €50,000-100,000</w:t>
        <w:br/>
        <w:t>- Training: €20,000</w:t>
        <w:br/>
        <w:t>Total Año 1: €100,000-200,000</w:t>
        <w:br/>
        <w:br/>
        <w:t>Beneficios:</w:t>
        <w:br/>
        <w:t>- Compromised credential attacks reduction: 80%</w:t>
        <w:br/>
        <w:t>- Ransomware vector reduction: 70% (lateral movement)</w:t>
        <w:br/>
        <w:t>- Cost per compromised account: €50,000 (GDPR, recovery)</w:t>
        <w:br/>
        <w:t>- Target: Evitar 5-10 incidentes de credenciales</w:t>
        <w:br/>
        <w:br/>
        <w:t>ROSI Esperado: 1,000-2,000%</w:t>
        <w:br/>
      </w:r>
    </w:p>
    <w:p>
      <w:pPr>
        <w:pStyle w:val="Heading3"/>
        <w:keepNext/>
        <w:keepLines/>
      </w:pPr>
      <w:r>
        <w:t>4.3 Modelo de Cálculo: Análisis Cuantitativo (FAIR Simplificado)</w:t>
      </w:r>
    </w:p>
    <w:p>
      <w:r>
        <w:rPr>
          <w:b/>
        </w:rPr>
        <w:t>Paso 1: Identificar Escenario de Riesgo</w:t>
      </w:r>
    </w:p>
    <w:p>
      <w:r>
        <w:t>Ejemplo: Fuga de datos de cliente en nube pública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Activo: Base de datos clientes (10,000 registros)</w:t>
        <w:br/>
        <w:t>Vulnerabilidad: Configuración errónea S3 + credenciales weak</w:t>
        <w:br/>
        <w:t>Amenaza: Script automático scanning buckets expuestos</w:t>
        <w:br/>
      </w:r>
    </w:p>
    <w:p>
      <w:r>
        <w:rPr>
          <w:b/>
        </w:rPr>
        <w:t>Paso 2: Estimar Parámetros FAIR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Threat Event Frequency (TEF) = Probabilidad evento × año</w:t>
        <w:br/>
        <w:t>- Capacidad atacante: Alta (automatizado)</w:t>
        <w:br/>
        <w:t>- Frecuencia scanning: Continua</w:t>
        <w:br/>
        <w:t>- Exposición activo: Público internet</w:t>
        <w:br/>
        <w:t>Estimación: 5-10 eventos/año = 0.7 probabilidad anual</w:t>
        <w:br/>
        <w:br/>
        <w:t>Threat Capability (TCap) = Sofisticación atacante</w:t>
        <w:br/>
        <w:t>- Actor: Criminales comunes (no APT)</w:t>
        <w:br/>
        <w:t>- Herramientas: Escaneo público (no 0-day)</w:t>
        <w:br/>
        <w:t>- Esfuerzo: Bajo</w:t>
        <w:br/>
        <w:t>Probabilidad explotación: 70-80%</w:t>
        <w:br/>
        <w:br/>
        <w:t>Resistance Strength (RS) = Defensa existente</w:t>
        <w:br/>
        <w:t>- WAF: No aplicable a cloud</w:t>
        <w:br/>
        <w:t>- DLP: No</w:t>
        <w:br/>
        <w:t>- Segmentación: No</w:t>
        <w:br/>
        <w:t>- Monitorización: No SIEM</w:t>
        <w:br/>
        <w:t>Probabilidad detección/bloqueo: 10%</w:t>
        <w:br/>
        <w:br/>
        <w:t>Loss Magnitude (LM) = Impacto financiero</w:t>
        <w:br/>
        <w:t>- Costo per record GDPR (España): €500-1,000</w:t>
        <w:br/>
        <w:t>- Costo per record discovery + notification: €100-200</w:t>
        <w:br/>
        <w:t>- Downtime reputacional: €100,000-500,000</w:t>
        <w:br/>
        <w:t>- Multa AEPD (art. 83): €50,000-€500,000</w:t>
        <w:br/>
        <w:t>Total potencial: €5,000,000-€10,000,000</w:t>
        <w:br/>
      </w:r>
    </w:p>
    <w:p>
      <w:r>
        <w:rPr>
          <w:b/>
        </w:rPr>
        <w:t>Paso 3: Calcular ALE (Annual Loss Expectation)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LEF (Loss Event Frequency) = TEF × (1 - RS)</w:t>
        <w:br/>
        <w:t>LEF = 0.70 × (1 - 0.10) = 0.63 eventos/año</w:t>
        <w:br/>
        <w:br/>
        <w:t>ALE = LEF × LM</w:t>
        <w:br/>
        <w:t>ALE = 0.63 × €7,500,000 = €4,725,000</w:t>
        <w:br/>
        <w:br/>
        <w:t>Interpretación: Riesgo anual esperado = €4.7M</w:t>
        <w:br/>
      </w:r>
    </w:p>
    <w:p>
      <w:r>
        <w:rPr>
          <w:b/>
        </w:rPr>
        <w:t>Paso 4: Evaluar Mitigación (Implementar DLP + monitoring)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Costo mitigación:</w:t>
        <w:br/>
        <w:t>- DLP cloud solution: €80,000/año</w:t>
        <w:br/>
        <w:t>- Implementación: €30,000</w:t>
        <w:br/>
        <w:t>- SIEM cloud integration: €20,000</w:t>
        <w:br/>
        <w:t>Total: €130,000/año</w:t>
        <w:br/>
        <w:br/>
        <w:t>Reducción riesgo:</w:t>
        <w:br/>
        <w:t>- RS improves: 10% → 70% (con DLP + monitoring)</w:t>
        <w:br/>
        <w:t>- LEF nuevo = 0.70 × (1 - 0.70) = 0.21 eventos/año</w:t>
        <w:br/>
        <w:t>- ALE nuevo = 0.21 × €7.5M = €1,575,000</w:t>
        <w:br/>
        <w:t>- Reducción: €4.7M - €1.58M = €3,125,000</w:t>
        <w:br/>
        <w:br/>
        <w:t>ROSI = (€3,125,000 - €130,000) / €130,000 × 100 = 2,404% ROI</w:t>
        <w:br/>
      </w:r>
    </w:p>
    <w:p>
      <w:pPr>
        <w:pStyle w:val="Heading2"/>
        <w:keepNext/>
        <w:keepLines/>
      </w:pPr>
      <w:r>
        <w:rPr>
          <w:color w:val="0066CC"/>
        </w:rPr>
        <w:t>5. ANÁLISIS COMPARATIVO Y BENCHMARKING</w:t>
      </w:r>
    </w:p>
    <w:p>
      <w:pPr>
        <w:pStyle w:val="Heading3"/>
        <w:keepNext/>
        <w:keepLines/>
      </w:pPr>
      <w:r>
        <w:t>5.1 Matriz Comparativa: Organización vs. Benchmarks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Crear tabla para comparación:</w:t>
        <w:br/>
        <w:br/>
        <w:t>DOMINIO          | PUNTUACIÓN | BENCHMARK | GAP    | POSICIÓN</w:t>
        <w:br/>
        <w:t xml:space="preserve">                 | ACTUAL     | INDUSTRIA | (%)    | vs. Pares</w:t>
        <w:br/>
        <w:t>GV (Gobernar)    | 2.8        | 3.2       | -12.5% | 25 percentil</w:t>
        <w:br/>
        <w:t>ID (Identificar) | 3.2        | 3.0       | +6.7%  | 75 percentil</w:t>
        <w:br/>
        <w:t>PR (Proteger)    | 3.0        | 3.1       | -3.2%  | 40 percentil</w:t>
        <w:br/>
        <w:t>DE (Detectar)    | 2.5        | 3.3       | -24.2% | 10 percentil</w:t>
        <w:br/>
        <w:t>RS (Responder)   | 3.1        | 3.0       | +3.3%  | 60 percentil</w:t>
        <w:br/>
        <w:t>RC (Recuperar)   | 2.9        | 2.8       | +3.6%  | 65 percentil</w:t>
        <w:br/>
        <w:t>------------------------------------------------------------</w:t>
        <w:br/>
        <w:t>IGM TOTAL        | 2.92       | 3.07      | -4.9%  | 40 percentil</w:t>
        <w:br/>
      </w:r>
    </w:p>
    <w:p>
      <w:pPr>
        <w:pStyle w:val="Heading3"/>
        <w:keepNext/>
        <w:keepLines/>
      </w:pPr>
      <w:r>
        <w:t>5.2 Benchmarking por Sector (Datos España 2024-2025)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Promedio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Tendencia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Financiero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↑ (cumplimiento normativo)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Energía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↑ (NIS2 transposición)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Telecomunicaciones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→ (maduro)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Transporte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↑ (mejorando)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Agua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↑ (crítico)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Salud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Parcial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↑ (GDPR compliance)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Educación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↑ (conciencia)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Administración Pública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↑ (ENS obligatorio)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Industrial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↑ (supply chain)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Retail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2.3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↓ (blanco ransomware)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6. ANÁLISIS DE BRECHAS Y ROADMAP DE MEJORA</w:t>
      </w:r>
    </w:p>
    <w:p>
      <w:pPr>
        <w:pStyle w:val="Heading3"/>
        <w:keepNext/>
        <w:keepLines/>
      </w:pPr>
      <w:r>
        <w:t>6.1 Matriz de Priorización: Impacto vs. Esfuerzo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               ESFUERZO BAJO      ESFUERZO ALTO</w:t>
        <w:br/>
        <w:t>IMPACTO ALTO        QUICK WINS         STRATEGIC PROJECTS</w:t>
        <w:br/>
        <w:t xml:space="preserve">                    (30-60 días)       (6-12 meses)</w:t>
        <w:br/>
        <w:br/>
        <w:t xml:space="preserve">                    - MFA              - SIEM implementation</w:t>
        <w:br/>
        <w:t xml:space="preserve">                    - Policy update    - Red team</w:t>
        <w:br/>
        <w:t xml:space="preserve">                    - Training         - Zero Trust</w:t>
        <w:br/>
        <w:t xml:space="preserve">                    - Backup testing   - Cloud security</w:t>
        <w:br/>
        <w:br/>
        <w:t>IMPACTO BAJO        FILL-INS           AVOID</w:t>
        <w:br/>
        <w:t xml:space="preserve">                    (60-90 días)       </w:t>
        <w:br/>
        <w:t xml:space="preserve">                    - Documentation   - Nice-to-haves</w:t>
        <w:br/>
        <w:t xml:space="preserve">                    - Minor controls  - Low-risk areas</w:t>
        <w:br/>
      </w:r>
    </w:p>
    <w:p>
      <w:pPr>
        <w:pStyle w:val="Heading3"/>
        <w:keepNext/>
        <w:keepLines/>
      </w:pPr>
      <w:r>
        <w:t>6.2 Roadmap de Mejora: Ejemplo 18 Meses</w:t>
      </w:r>
    </w:p>
    <w:p>
      <w:r>
        <w:rPr>
          <w:b/>
        </w:rPr>
        <w:t>Trimestre 1 (Quick Wins - Impacto Máximo/Mínimo Esfuerzo)</w:t>
      </w:r>
    </w:p>
    <w:p>
      <w:pPr>
        <w:pStyle w:val="ListBullet"/>
        <w:keepLines w:val="1"/>
        <w:keepNext w:val="1"/>
        <w:widowControl w:val="1"/>
      </w:pPr>
      <w:r>
        <w:t>[ ] Actualizar política de ciberseguridad</w:t>
      </w:r>
    </w:p>
    <w:p>
      <w:pPr>
        <w:pStyle w:val="ListBullet"/>
        <w:keepLines w:val="1"/>
        <w:keepNext w:val="1"/>
        <w:widowControl w:val="1"/>
      </w:pPr>
      <w:r>
        <w:t>[ ] Implementar MFA universal</w:t>
      </w:r>
    </w:p>
    <w:p>
      <w:pPr>
        <w:pStyle w:val="ListBullet"/>
        <w:keepLines w:val="1"/>
        <w:keepNext w:val="1"/>
        <w:widowControl w:val="1"/>
      </w:pPr>
      <w:r>
        <w:t>[ ] Formalizar plan respuesta incidentes</w:t>
      </w:r>
    </w:p>
    <w:p>
      <w:pPr>
        <w:pStyle w:val="ListBullet"/>
        <w:keepLines w:val="1"/>
        <w:keepNext w:val="1"/>
        <w:widowControl w:val="1"/>
      </w:pPr>
      <w:r>
        <w:t>[ ] Comenzar simulaciones phishing</w:t>
      </w:r>
    </w:p>
    <w:p>
      <w:pPr>
        <w:pStyle w:val="ListBullet"/>
        <w:keepLines w:val="1"/>
        <w:keepNext w:val="1"/>
        <w:widowControl w:val="1"/>
      </w:pPr>
      <w:r>
        <w:t>Inversión esperada: €80,000-120,000</w:t>
      </w:r>
    </w:p>
    <w:p>
      <w:pPr>
        <w:pStyle w:val="ListBullet"/>
        <w:keepLines w:val="1"/>
        <w:widowControl w:val="1"/>
      </w:pPr>
      <w:r>
        <w:t>IGM esperado post-Q1: +0.3 puntos</w:t>
      </w:r>
    </w:p>
    <w:p>
      <w:r>
        <w:rPr>
          <w:b/>
        </w:rPr>
        <w:t>Trimestre 2-3 (Fortalezas - Strategic Projects)</w:t>
      </w:r>
    </w:p>
    <w:p>
      <w:pPr>
        <w:pStyle w:val="ListBullet"/>
        <w:keepLines w:val="1"/>
        <w:keepNext w:val="1"/>
        <w:widowControl w:val="1"/>
      </w:pPr>
      <w:r>
        <w:t>[ ] Implementar SIEM</w:t>
      </w:r>
    </w:p>
    <w:p>
      <w:pPr>
        <w:pStyle w:val="ListBullet"/>
        <w:keepLines w:val="1"/>
        <w:keepNext w:val="1"/>
        <w:widowControl w:val="1"/>
      </w:pPr>
      <w:r>
        <w:t>[ ] Pentest externo + remediación</w:t>
      </w:r>
    </w:p>
    <w:p>
      <w:pPr>
        <w:pStyle w:val="ListBullet"/>
        <w:keepLines w:val="1"/>
        <w:keepNext w:val="1"/>
        <w:widowControl w:val="1"/>
      </w:pPr>
      <w:r>
        <w:t>[ ] Establecer SOAR</w:t>
      </w:r>
    </w:p>
    <w:p>
      <w:pPr>
        <w:pStyle w:val="ListBullet"/>
        <w:keepLines w:val="1"/>
        <w:keepNext w:val="1"/>
        <w:widowControl w:val="1"/>
      </w:pPr>
      <w:r>
        <w:t>[ ] Capacitación especializada (roles críticos)</w:t>
      </w:r>
    </w:p>
    <w:p>
      <w:pPr>
        <w:pStyle w:val="ListBullet"/>
        <w:keepLines w:val="1"/>
        <w:keepNext w:val="1"/>
        <w:widowControl w:val="1"/>
      </w:pPr>
      <w:r>
        <w:t>Inversión esperada: €300,000-500,000</w:t>
      </w:r>
    </w:p>
    <w:p>
      <w:pPr>
        <w:pStyle w:val="ListBullet"/>
        <w:keepLines w:val="1"/>
        <w:widowControl w:val="1"/>
      </w:pPr>
      <w:r>
        <w:t>IGM esperado post-Q3: +0.8 puntos</w:t>
      </w:r>
    </w:p>
    <w:p>
      <w:r>
        <w:rPr>
          <w:b/>
        </w:rPr>
        <w:t>Trimestre 4-6 (Optimización - Sostenibilidad)</w:t>
      </w:r>
    </w:p>
    <w:p>
      <w:pPr>
        <w:pStyle w:val="ListBullet"/>
        <w:keepLines w:val="1"/>
        <w:keepNext w:val="1"/>
        <w:widowControl w:val="1"/>
      </w:pPr>
      <w:r>
        <w:t>[ ] Red team exercises</w:t>
      </w:r>
    </w:p>
    <w:p>
      <w:pPr>
        <w:pStyle w:val="ListBullet"/>
        <w:keepLines w:val="1"/>
        <w:keepNext w:val="1"/>
        <w:widowControl w:val="1"/>
      </w:pPr>
      <w:r>
        <w:t>[ ] Zero Trust iniciativa</w:t>
      </w:r>
    </w:p>
    <w:p>
      <w:pPr>
        <w:pStyle w:val="ListBullet"/>
        <w:keepLines w:val="1"/>
        <w:keepNext w:val="1"/>
        <w:widowControl w:val="1"/>
      </w:pPr>
      <w:r>
        <w:t>[ ] Disaster recovery testing</w:t>
      </w:r>
    </w:p>
    <w:p>
      <w:pPr>
        <w:pStyle w:val="ListBullet"/>
        <w:keepLines w:val="1"/>
        <w:keepNext w:val="1"/>
        <w:widowControl w:val="1"/>
      </w:pPr>
      <w:r>
        <w:t>[ ] Supply chain risk assessment</w:t>
      </w:r>
    </w:p>
    <w:p>
      <w:pPr>
        <w:pStyle w:val="ListBullet"/>
        <w:keepLines w:val="1"/>
        <w:keepNext w:val="1"/>
        <w:widowControl w:val="1"/>
      </w:pPr>
      <w:r>
        <w:t>Inversión esperada: €200,000-300,000</w:t>
      </w:r>
    </w:p>
    <w:p>
      <w:pPr>
        <w:pStyle w:val="ListBullet"/>
        <w:keepLines w:val="1"/>
        <w:widowControl w:val="1"/>
      </w:pPr>
      <w:r>
        <w:t>IGM esperado post-Q6: +1.2 puntos</w:t>
      </w:r>
    </w:p>
    <w:p>
      <w:r>
        <w:rPr>
          <w:b/>
        </w:rPr>
        <w:t>Resultado 18 Meses:</w:t>
      </w:r>
      <w:r/>
      <w:r>
        <w:br/>
        <w:t>- IGM inicial: 2.92</w:t>
      </w:r>
      <w:r/>
      <w:r>
        <w:br/>
        <w:t>- IGM final (proyectado): 4.12 (</w:t>
      </w:r>
      <w:r>
        <w:rPr>
          <w:b/>
        </w:rPr>
        <w:t>Maturity 4</w:t>
      </w:r>
      <w:r>
        <w:t>)</w:t>
      </w:r>
      <w:r/>
      <w:r>
        <w:br/>
        <w:t>- Inversión total: €580,000-920,000</w:t>
      </w:r>
      <w:r/>
      <w:r>
        <w:br/>
        <w:t>- ROI esperado: 500-1,200%</w:t>
      </w:r>
    </w:p>
    <w:p>
      <w:pPr>
        <w:pStyle w:val="Heading2"/>
        <w:keepNext/>
        <w:keepLines/>
      </w:pPr>
      <w:r>
        <w:rPr>
          <w:color w:val="0066CC"/>
        </w:rPr>
        <w:t>7. INDICADORES CLAVE DE RENDIMIENTO (KPI) DERIVADOS</w:t>
      </w:r>
    </w:p>
    <w:p>
      <w:pPr>
        <w:pStyle w:val="Heading3"/>
        <w:keepNext/>
        <w:keepLines/>
      </w:pPr>
      <w:r>
        <w:t>7.1 KPI Estratégicos (C-Level / Junta)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IGM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Promedio dominio NIST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Trimestral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&gt;3.5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Riesgo Residual (%)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(1 - (Controles / Riesgos)) × 100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&lt;30%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Exposición Económica (€)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ALE total cuantificado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↓20% YoY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Incidentes Críticos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Count incidentes severity crítica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Cumplimiento Normativo (%)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(Requisitos cumplidos / Total) × 100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Trimestral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&gt;95%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ROSI (%)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(Beneficios - Costos) / Costos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Anual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&gt;500%</w:t>
            </w:r>
          </w:p>
        </w:tc>
      </w:tr>
    </w:tbl>
    <w:p/>
    <w:p>
      <w:pPr>
        <w:pStyle w:val="Heading3"/>
        <w:keepNext/>
        <w:keepLines/>
      </w:pPr>
      <w:r>
        <w:t>7.2 KPI Operacionales (CISOs, Equipos)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Benchmark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&lt;15 min (crítica)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 España: 2-4h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MTTC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&lt;4 horas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 España: 6-8h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% vulnerabilidades remediadas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&gt;80% críticas en 30d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 España: 60%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Cobertura SIEM (%)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&gt;90%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 España: 60-70%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Click rate phishing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&lt;5%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 España: 12-15%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Falsos positivos SIEM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&lt;5%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Actual España: 20-40%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8. LIMITACIONES Y CONSIDERACIONES</w:t>
      </w:r>
    </w:p>
    <w:p>
      <w:pPr>
        <w:pStyle w:val="Heading3"/>
        <w:keepNext/>
        <w:keepLines/>
      </w:pPr>
      <w:r>
        <w:t>8.1 Limitaciones Metodológicas</w:t>
      </w:r>
    </w:p>
    <w:p>
      <w:pPr>
        <w:pStyle w:val="ListNumber"/>
        <w:keepLines w:val="1"/>
        <w:keepNext w:val="1"/>
        <w:widowControl w:val="1"/>
      </w:pPr>
      <w:r>
        <w:t>Escala 0-5 subjetiva: Requiere calibración con auditoría externa</w:t>
      </w:r>
    </w:p>
    <w:p>
      <w:pPr>
        <w:pStyle w:val="ListNumber"/>
        <w:keepLines w:val="1"/>
        <w:keepNext w:val="1"/>
        <w:widowControl w:val="1"/>
      </w:pPr>
      <w:r>
        <w:t>Ponderaciones: Pueden variar por sector/regulación</w:t>
      </w:r>
    </w:p>
    <w:p>
      <w:pPr>
        <w:pStyle w:val="ListNumber"/>
        <w:keepLines w:val="1"/>
        <w:keepNext w:val="1"/>
        <w:widowControl w:val="1"/>
      </w:pPr>
      <w:r>
        <w:t>Datos auto-reportados: Riesgo de sobre-optimismo (validar con evidencia documental)</w:t>
      </w:r>
    </w:p>
    <w:p>
      <w:pPr>
        <w:pStyle w:val="ListNumber"/>
        <w:keepLines w:val="1"/>
        <w:keepNext w:val="1"/>
        <w:widowControl w:val="1"/>
      </w:pPr>
      <w:r>
        <w:t>Punto en el tiempo: IGM refleja estado en fecha de encuesta (no histórico)</w:t>
      </w:r>
    </w:p>
    <w:p>
      <w:pPr>
        <w:pStyle w:val="ListNumber"/>
        <w:keepLines w:val="1"/>
        <w:widowControl w:val="1"/>
      </w:pPr>
      <w:r>
        <w:t>No predice: IGM no predice si evitará incidente próximo (solo postura relativa)</w:t>
      </w:r>
    </w:p>
    <w:p>
      <w:pPr>
        <w:pStyle w:val="Heading3"/>
        <w:keepNext/>
        <w:keepLines/>
      </w:pPr>
      <w:r>
        <w:t>8.2 Mejoras Recomendadas</w:t>
      </w:r>
    </w:p>
    <w:p>
      <w:pPr>
        <w:pStyle w:val="ListBullet"/>
        <w:keepLines w:val="1"/>
        <w:keepNext w:val="1"/>
        <w:widowControl w:val="1"/>
      </w:pPr>
      <w:r>
        <w:t>Validación externa: Auditoría independiente anual de IGM</w:t>
      </w:r>
    </w:p>
    <w:p>
      <w:pPr>
        <w:pStyle w:val="ListBullet"/>
        <w:keepLines w:val="1"/>
        <w:keepNext w:val="1"/>
        <w:widowControl w:val="1"/>
      </w:pPr>
      <w:r>
        <w:t>Correlación incidentes: Comparar IGM con histórico incidentes reales</w:t>
      </w:r>
    </w:p>
    <w:p>
      <w:pPr>
        <w:pStyle w:val="ListBullet"/>
        <w:keepLines w:val="1"/>
        <w:keepNext w:val="1"/>
        <w:widowControl w:val="1"/>
      </w:pPr>
      <w:r>
        <w:t>Benchmarking dinámico: Actualizar benchmarks trimestralmente con datos de mercado</w:t>
      </w:r>
    </w:p>
    <w:p>
      <w:pPr>
        <w:pStyle w:val="ListBullet"/>
        <w:keepLines w:val="1"/>
        <w:widowControl w:val="1"/>
      </w:pPr>
      <w:r>
        <w:t>Análisis de confianza: Intervalos de confianza en métricas (min/esperado/máx)</w:t>
      </w:r>
    </w:p>
    <w:p>
      <w:pPr>
        <w:pStyle w:val="Heading2"/>
        <w:keepNext/>
        <w:keepLines/>
      </w:pPr>
      <w:r>
        <w:rPr>
          <w:color w:val="0066CC"/>
        </w:rPr>
        <w:t>REFERENCIAS METODOLÓGICAS</w:t>
      </w:r>
    </w:p>
    <w:p>
      <w:pPr>
        <w:pStyle w:val="ListBullet"/>
        <w:keepLines w:val="1"/>
        <w:keepNext w:val="1"/>
        <w:widowControl w:val="1"/>
      </w:pPr>
      <w:r>
        <w:t>NIST Cybersecurity Framework 2.0 (nvlpubs.nist.gov)</w:t>
      </w:r>
    </w:p>
    <w:p>
      <w:pPr>
        <w:pStyle w:val="ListBullet"/>
        <w:keepLines w:val="1"/>
        <w:keepNext w:val="1"/>
        <w:widowControl w:val="1"/>
      </w:pPr>
      <w:r>
        <w:t>INCIBE IMC (Indicadores Mejora Ciberresiliencia)</w:t>
      </w:r>
    </w:p>
    <w:p>
      <w:pPr>
        <w:pStyle w:val="ListBullet"/>
        <w:keepLines w:val="1"/>
        <w:keepNext w:val="1"/>
        <w:widowControl w:val="1"/>
      </w:pPr>
      <w:r>
        <w:t>Factor Analysis of Information Risk (FAIR Institute)</w:t>
      </w:r>
    </w:p>
    <w:p>
      <w:pPr>
        <w:pStyle w:val="ListBullet"/>
        <w:keepLines w:val="1"/>
        <w:keepNext w:val="1"/>
        <w:widowControl w:val="1"/>
      </w:pPr>
      <w:r>
        <w:t>ISO/IEC 27005:2022 (Risk Management)</w:t>
      </w:r>
    </w:p>
    <w:p>
      <w:pPr>
        <w:pStyle w:val="ListBullet"/>
        <w:keepLines w:val="1"/>
        <w:keepNext w:val="1"/>
        <w:widowControl w:val="1"/>
      </w:pPr>
      <w:r>
        <w:t>Directiva NIS2 (UE)</w:t>
      </w:r>
    </w:p>
    <w:p>
      <w:pPr>
        <w:pStyle w:val="ListBullet"/>
        <w:keepLines w:val="1"/>
        <w:widowControl w:val="1"/>
      </w:pPr>
      <w:r>
        <w:t>Global Cybersecurity Index (ITU)</w:t>
      </w:r>
    </w:p>
    <w:p>
      <w:r>
        <w:rPr>
          <w:b/>
        </w:rPr>
        <w:t>Fin de Guía Metodológica</w:t>
      </w:r>
    </w:p>
    <w:p>
      <w:r>
        <w:rPr>
          <w:i/>
        </w:rPr>
        <w:t>Versión: 1.0 | Última actualización: 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