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EXCEL: CÁLCULO IGM Y ROI</w:t>
      </w:r>
    </w:p>
    <w:p>
      <w:pPr>
        <w:pStyle w:val="Heading2"/>
        <w:keepNext/>
        <w:keepLines/>
      </w:pPr>
      <w:r>
        <w:rPr>
          <w:color w:val="0066CC"/>
        </w:rPr>
        <w:t>Guía de Implementación en Hoja de Cálculo</w:t>
      </w:r>
    </w:p>
    <w:p>
      <w:r>
        <w:rPr>
          <w:b/>
        </w:rPr>
        <w:t>Versión:</w:t>
      </w:r>
      <w:r>
        <w:t xml:space="preserve"> 1.0 | Enero 2026</w:t>
      </w:r>
      <w:r/>
      <w:r>
        <w:br/>
      </w:r>
      <w:r>
        <w:rPr>
          <w:b/>
        </w:rPr>
        <w:t>Plataformas Compatibles:</w:t>
      </w:r>
      <w:r>
        <w:t xml:space="preserve"> Excel, Google Sheets, LibreOffice Calc</w:t>
      </w:r>
    </w:p>
    <w:p>
      <w:pPr>
        <w:pStyle w:val="Heading2"/>
        <w:keepNext/>
        <w:keepLines/>
      </w:pPr>
      <w:r>
        <w:rPr>
          <w:color w:val="0066CC"/>
        </w:rPr>
        <w:t>ESTRUCTURA DE LA PLANTILLA</w:t>
      </w:r>
    </w:p>
    <w:p>
      <w:pPr>
        <w:pStyle w:val="Heading3"/>
        <w:keepNext/>
        <w:keepLines/>
      </w:pPr>
      <w:r>
        <w:t>Hoja 1: "DATOS ENCUESTA"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Columna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Tipo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Número Pregunta (1-50)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ID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Sección (Gobernanza, Identificación, etc.)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Pregunta Literal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Texto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Respuesta Seleccionada (A/B/C/D/E)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Dropdown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Puntuación Automática (0-5)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Fórmula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NIST (GV/ID/PR/DE/RS/RC)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Referencia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Factor Ponderación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Decimal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H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Puntuación Ponderada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Fórmula</w:t>
            </w:r>
          </w:p>
        </w:tc>
      </w:tr>
    </w:tbl>
    <w:p/>
    <w:p>
      <w:r>
        <w:rPr>
          <w:b/>
        </w:rPr>
        <w:t>Fórmulas Ejemplo: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E (Puntuación 0-5):</w:t>
        <w:br/>
        <w:t xml:space="preserve">=IF(D2="Inexistente",0, IF(D2="Inicial",1, IF(D2="Gestionada",2, </w:t>
        <w:br/>
        <w:t xml:space="preserve">   IF(D2="Definida",3, IF(D2="Optimizada",4,0)))))</w:t>
        <w:br/>
        <w:br/>
        <w:t>Columna H (Ponderada):</w:t>
        <w:br/>
        <w:t>=E2*G2</w:t>
        <w:br/>
      </w:r>
    </w:p>
    <w:p>
      <w:pPr>
        <w:pStyle w:val="Heading3"/>
        <w:keepNext/>
        <w:keepLines/>
      </w:pPr>
      <w:r>
        <w:t>Hoja 2: "CÁLCULO IGM"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Ejemplo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GV (Gobernar)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=PROMEDIO(H2:H6)*Ponderación GV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2.8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ID (Identificar)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=PROMEDIO(H7:H12)*Ponderación ID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PR (Proteger)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=PROMEDIO(H13:H20)*Ponderación PR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DE (Detectar)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=PROMEDIO(H21:H26)*Ponderación DE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RS (Responder)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=PROMEDIO(H27:H30)*Ponderación RS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3.1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Dominio RC (Recuperar)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=PROMEDIO(H31:H34)*Ponderación RC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2.9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IGM Total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=(GV+ID+PR+DE+RS+RC)/6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2.92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Maturity Level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=IF(IGM&lt;1.6,0, IF(IGM&lt;2.5,1, IF(IGM&lt;3.5,2, IF(IGM&lt;4.1,3,4))))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2 (Gestionada)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Riesgo Residual (%)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=IF(Maturity=0,80, IF(Maturity=1,70, IF(Maturity=2,50, IF(Maturity=3,30,10))))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50%</w:t>
            </w:r>
          </w:p>
        </w:tc>
      </w:tr>
    </w:tbl>
    <w:p/>
    <w:p>
      <w:pPr>
        <w:pStyle w:val="Heading3"/>
        <w:keepNext/>
        <w:keepLines/>
      </w:pPr>
      <w:r>
        <w:t>Hoja 3: "ANÁLISIS COMPARATIVO"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Puntuación Actual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Benchmark Sector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Percentil Posición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GV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-0.4 (-12.5%)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P25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+0.2 (+6.7%)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P75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-0.1 (-3.2%)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P40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DE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-0.8 (-24.2%)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P10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3.0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+0.1 (+3.3%)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P60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RC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2.8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+0.1 (+3.6%)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P65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IGM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2.92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3.07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-0.15 (-4.9%)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P40</w:t>
            </w:r>
          </w:p>
        </w:tc>
      </w:tr>
    </w:tbl>
    <w:p/>
    <w:p>
      <w:r>
        <w:rPr>
          <w:b/>
        </w:rPr>
        <w:t>Fórmulas: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Columna Gap:</w:t>
        <w:br/>
        <w:t>=Puntuación_Actual - Benchmark</w:t>
        <w:br/>
        <w:br/>
        <w:t>Columna Percentil:</w:t>
        <w:br/>
        <w:t>=PERCENTRANK.INC(Rango_Benchmark, Puntuación_Actual)</w:t>
        <w:br/>
      </w:r>
    </w:p>
    <w:p>
      <w:pPr>
        <w:pStyle w:val="Heading3"/>
        <w:keepNext/>
        <w:keepLines/>
      </w:pPr>
      <w:r>
        <w:t>Hoja 4: "CÁLCULO ROI"</w:t>
      </w:r>
    </w:p>
    <w:p>
      <w:r>
        <w:rPr>
          <w:b/>
        </w:rPr>
        <w:t>Escenario 1: Implementación EDR/XDR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Riesgo Anual (ALE)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TEF × TCap × (1-RS) × LM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€2,000,000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Solución Año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Licencias + Impl + Training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€150,000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Reducción Riesgo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% histórico del control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80%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Riesgo Mitigado (€)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ALE × Reducción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€1,600,000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 Neto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Mitigado - Costo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€1,450,000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ROSI (%)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(Beneficio Neto / Costo) × 100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967%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Payback (días)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(Costo / (Beneficio Neto / 365))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34 días</w:t>
            </w:r>
          </w:p>
        </w:tc>
      </w:tr>
    </w:tbl>
    <w:p/>
    <w:p>
      <w:r>
        <w:rPr>
          <w:b/>
        </w:rPr>
        <w:t>Fórmulas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ALE: =TEF * TCap * (1-RS) * LM</w:t>
        <w:br/>
        <w:br/>
        <w:t>ROSI: =(Riesgo_Mitigado - Costo) / Costo * 100</w:t>
        <w:br/>
        <w:br/>
        <w:t>Payback: = Costo / (Beneficio_Neto / 365)</w:t>
        <w:br/>
      </w:r>
    </w:p>
    <w:p>
      <w:r>
        <w:rPr>
          <w:b/>
        </w:rPr>
        <w:t>Escenario 2: Implementación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Eventos/Segundo (EPS)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Estimación o histórico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3,000 EPS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Licencia (€/EPS/año)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Mercado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€100/EPS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Implementación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Global + Integración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€150,000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Operación Anual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SIEM + SOC (si aplicable)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Costo Total Año 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Licencias + Impl + Op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€500,000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Beneficios Cuantificables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MTTD reduction + Forensics acceleration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€2,000,000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ROSI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(Beneficios - Costo) / Costo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300%</w:t>
            </w:r>
          </w:p>
        </w:tc>
      </w:tr>
    </w:tbl>
    <w:p/>
    <w:p>
      <w:pPr>
        <w:pStyle w:val="Heading3"/>
        <w:keepNext/>
        <w:keepLines/>
      </w:pPr>
      <w:r>
        <w:t>Hoja 5: "ROADMAP 18 MESES"</w:t>
      </w:r>
    </w:p>
    <w:p>
      <w:r>
        <w:rPr>
          <w:b/>
        </w:rPr>
        <w:t>Estructura: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Inicitativa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Inversión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Esperado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Beneficio Acumulado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ROI Proyectado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Quick Wins (MFA, Policy)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€100k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2.92 → 3.20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€500k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Q2-Q3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Strategic (SIEM, Pentest)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3.20 → 3.90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€2M + €1.5M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600-700%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Q4-Q6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Optimization (Red Team, ZT)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€300k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3.90 → 4.10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€3M + €1M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500-800%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Total 18m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12 inicitativas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€800k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→ 4.10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€7M+ acumulado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600-800%</w:t>
            </w:r>
          </w:p>
        </w:tc>
      </w:tr>
    </w:tbl>
    <w:p/>
    <w:p>
      <w:pPr>
        <w:pStyle w:val="Heading3"/>
        <w:keepNext/>
        <w:keepLines/>
      </w:pPr>
      <w:r>
        <w:t>Hoja 6: "DASHBOARD EJECUTIVO"</w:t>
      </w:r>
    </w:p>
    <w:p>
      <w:r>
        <w:rPr>
          <w:b/>
        </w:rPr>
        <w:t>Componentes Visuales Recomendados:</w:t>
      </w:r>
    </w:p>
    <w:p>
      <w:pPr>
        <w:pStyle w:val="ListNumber"/>
        <w:keepLines w:val="1"/>
        <w:keepNext w:val="1"/>
        <w:widowControl w:val="1"/>
      </w:pPr>
      <w:r>
        <w:t>Gauge Chart: IGM General</w:t>
      </w:r>
    </w:p>
    <w:p>
      <w:pPr>
        <w:pStyle w:val="ListNumber"/>
        <w:keepLines w:val="1"/>
        <w:keepNext w:val="1"/>
        <w:widowControl w:val="1"/>
      </w:pPr>
      <w:r>
        <w:t>Rango: 0-5</w:t>
      </w:r>
    </w:p>
    <w:p>
      <w:pPr>
        <w:pStyle w:val="ListNumber"/>
        <w:keepLines w:val="1"/>
        <w:keepNext w:val="1"/>
        <w:widowControl w:val="1"/>
      </w:pPr>
      <w:r>
        <w:br/>
        <w:t>Zonas: Rojo &lt;2, Amarillo 2-3, Verde 3-4, Azul &gt;4</w:t>
        <w:br/>
      </w:r>
    </w:p>
    <w:p>
      <w:pPr>
        <w:pStyle w:val="ListNumber"/>
        <w:keepLines w:val="1"/>
        <w:keepNext w:val="1"/>
        <w:widowControl w:val="1"/>
      </w:pPr>
      <w:r>
        <w:br/>
        <w:t>Radar Chart: Dominios NIST</w:t>
        <w:br/>
      </w:r>
    </w:p>
    <w:p>
      <w:pPr>
        <w:pStyle w:val="ListNumber"/>
        <w:keepLines w:val="1"/>
        <w:keepNext w:val="1"/>
        <w:widowControl w:val="1"/>
      </w:pPr>
      <w:r>
        <w:t>6 ejes (GV, ID, PR, DE, RS, RC)</w:t>
      </w:r>
    </w:p>
    <w:p>
      <w:pPr>
        <w:pStyle w:val="ListNumber"/>
        <w:keepLines w:val="1"/>
        <w:keepNext w:val="1"/>
        <w:widowControl w:val="1"/>
      </w:pPr>
      <w:r>
        <w:t>Zona exterior = Benchmark</w:t>
      </w:r>
    </w:p>
    <w:p>
      <w:pPr>
        <w:pStyle w:val="ListNumber"/>
        <w:keepLines w:val="1"/>
        <w:keepNext w:val="1"/>
        <w:widowControl w:val="1"/>
      </w:pPr>
      <w:r>
        <w:t>Zona interior = Actual</w:t>
      </w:r>
    </w:p>
    <w:p>
      <w:pPr>
        <w:pStyle w:val="ListNumber"/>
        <w:keepLines w:val="1"/>
        <w:keepNext w:val="1"/>
        <w:widowControl w:val="1"/>
      </w:pPr>
      <w:r>
        <w:br/>
        <w:t>Visualiza gaps inmediatamente</w:t>
        <w:br/>
      </w:r>
    </w:p>
    <w:p>
      <w:pPr>
        <w:pStyle w:val="ListNumber"/>
        <w:keepLines w:val="1"/>
        <w:keepNext w:val="1"/>
        <w:widowControl w:val="1"/>
      </w:pPr>
      <w:r>
        <w:br/>
        <w:t>Bar Chart: Vulnerabilidades Pendientes</w:t>
        <w:br/>
      </w:r>
    </w:p>
    <w:p>
      <w:pPr>
        <w:pStyle w:val="ListNumber"/>
        <w:keepLines w:val="1"/>
        <w:keepNext w:val="1"/>
        <w:widowControl w:val="1"/>
      </w:pPr>
      <w:r>
        <w:t>Críticas, Altas, Medias, Bajas</w:t>
      </w:r>
    </w:p>
    <w:p>
      <w:pPr>
        <w:pStyle w:val="ListNumber"/>
        <w:keepLines w:val="1"/>
        <w:keepNext w:val="1"/>
        <w:widowControl w:val="1"/>
      </w:pPr>
      <w:r>
        <w:br/>
        <w:t>Target vs. Actual</w:t>
        <w:br/>
      </w:r>
    </w:p>
    <w:p>
      <w:pPr>
        <w:pStyle w:val="ListNumber"/>
        <w:keepLines w:val="1"/>
        <w:keepNext w:val="1"/>
        <w:widowControl w:val="1"/>
      </w:pPr>
      <w:r>
        <w:br/>
        <w:t>KPI Cards:</w:t>
        <w:br/>
      </w:r>
    </w:p>
    <w:p>
      <w:pPr>
        <w:pStyle w:val="ListNumber"/>
        <w:keepLines w:val="1"/>
        <w:keepNext w:val="1"/>
        <w:widowControl w:val="1"/>
      </w:pPr>
      <w:r>
        <w:t>MTTD: 2.5h (target &lt;1h)</w:t>
      </w:r>
    </w:p>
    <w:p>
      <w:pPr>
        <w:pStyle w:val="ListNumber"/>
        <w:keepLines w:val="1"/>
        <w:keepNext w:val="1"/>
        <w:widowControl w:val="1"/>
      </w:pPr>
      <w:r>
        <w:t>Incidents/Year: 5 (trending ↓)</w:t>
      </w:r>
    </w:p>
    <w:p>
      <w:pPr>
        <w:pStyle w:val="ListNumber"/>
        <w:keepLines w:val="1"/>
        <w:keepNext w:val="1"/>
        <w:widowControl w:val="1"/>
      </w:pPr>
      <w:r>
        <w:t>Compliance: 92% (vs target &gt;95%)</w:t>
      </w:r>
    </w:p>
    <w:p>
      <w:pPr>
        <w:pStyle w:val="ListNumber"/>
        <w:keepLines w:val="1"/>
        <w:keepNext w:val="1"/>
        <w:widowControl w:val="1"/>
      </w:pPr>
      <w:r>
        <w:br/>
        <w:t>ROI Acumulado: €3.2M</w:t>
        <w:br/>
      </w:r>
    </w:p>
    <w:p>
      <w:pPr>
        <w:pStyle w:val="ListNumber"/>
        <w:keepLines w:val="1"/>
        <w:keepNext w:val="1"/>
        <w:widowControl w:val="1"/>
      </w:pPr>
      <w:r>
        <w:br/>
        <w:t>Timeline: Roadmap Visual</w:t>
        <w:br/>
      </w:r>
    </w:p>
    <w:p>
      <w:pPr>
        <w:pStyle w:val="ListNumber"/>
        <w:keepLines w:val="1"/>
        <w:keepNext w:val="1"/>
        <w:widowControl w:val="1"/>
      </w:pPr>
      <w:r>
        <w:t>Hitos Q1-Q6</w:t>
      </w:r>
    </w:p>
    <w:p>
      <w:pPr>
        <w:pStyle w:val="ListNumber"/>
        <w:keepLines w:val="1"/>
        <w:keepNext w:val="1"/>
        <w:widowControl w:val="1"/>
      </w:pPr>
      <w:r>
        <w:t>IGM growth trajectory</w:t>
      </w:r>
    </w:p>
    <w:p>
      <w:pPr>
        <w:pStyle w:val="ListNumber"/>
        <w:keepLines w:val="1"/>
        <w:widowControl w:val="1"/>
      </w:pPr>
      <w:r>
        <w:t>Investment vs benefit</w:t>
      </w:r>
    </w:p>
    <w:p>
      <w:r>
        <w:t>Zonas: Rojo &lt;2, Amarillo 2-3, Verde 3-4, Azul &gt;4</w:t>
      </w:r>
    </w:p>
    <w:p>
      <w:r>
        <w:rPr>
          <w:b/>
        </w:rPr>
        <w:t>Radar Chart: Dominios NIST</w:t>
      </w:r>
    </w:p>
    <w:p>
      <w:r>
        <w:t>Visualiza gaps inmediatamente</w:t>
      </w:r>
    </w:p>
    <w:p>
      <w:r>
        <w:rPr>
          <w:b/>
        </w:rPr>
        <w:t>Bar Chart: Vulnerabilidades Pendientes</w:t>
      </w:r>
    </w:p>
    <w:p>
      <w:r>
        <w:t>Target vs. Actual</w:t>
      </w:r>
    </w:p>
    <w:p>
      <w:r>
        <w:rPr>
          <w:b/>
        </w:rPr>
        <w:t>KPI Cards:</w:t>
      </w:r>
    </w:p>
    <w:p>
      <w:r>
        <w:t>ROI Acumulado: €3.2M</w:t>
      </w:r>
    </w:p>
    <w:p>
      <w:r>
        <w:rPr>
          <w:b/>
        </w:rPr>
        <w:t>Timeline: Roadmap Visual</w:t>
      </w:r>
    </w:p>
    <w:p>
      <w:pPr>
        <w:pStyle w:val="Heading2"/>
        <w:keepNext/>
        <w:keepLines/>
      </w:pPr>
      <w:r>
        <w:rPr>
          <w:color w:val="0066CC"/>
        </w:rPr>
        <w:t>IMPLEMENTACIÓN PASO A PASO</w:t>
      </w:r>
    </w:p>
    <w:p>
      <w:pPr>
        <w:pStyle w:val="Heading3"/>
        <w:keepNext/>
        <w:keepLines/>
      </w:pPr>
      <w:r>
        <w:t>Paso 1: Descargar Plantilla Base</w:t>
      </w:r>
    </w:p>
    <w:p>
      <w:pPr>
        <w:pStyle w:val="ListBullet"/>
        <w:keepLines w:val="1"/>
        <w:keepNext w:val="1"/>
        <w:widowControl w:val="1"/>
      </w:pPr>
      <w:r>
        <w:t>Google Sheets Template: [Link de ejemplo]</w:t>
      </w:r>
    </w:p>
    <w:p>
      <w:pPr>
        <w:pStyle w:val="ListBullet"/>
        <w:keepLines w:val="1"/>
        <w:widowControl w:val="1"/>
      </w:pPr>
      <w:r>
        <w:t>Excel Template: [Link de ejemplo]</w:t>
      </w:r>
    </w:p>
    <w:p>
      <w:pPr>
        <w:pStyle w:val="Heading3"/>
        <w:keepNext/>
        <w:keepLines/>
      </w:pPr>
      <w:r>
        <w:t>Paso 2: Rellenar Datos Encuesta</w:t>
      </w:r>
    </w:p>
    <w:p>
      <w:pPr>
        <w:pStyle w:val="ListBullet"/>
        <w:keepLines w:val="1"/>
        <w:keepNext w:val="1"/>
        <w:widowControl w:val="1"/>
      </w:pPr>
      <w:r>
        <w:t>50 preguntas × Respuesta (A/B/C/D/E)</w:t>
      </w:r>
    </w:p>
    <w:p>
      <w:pPr>
        <w:pStyle w:val="ListBullet"/>
        <w:keepLines w:val="1"/>
        <w:widowControl w:val="1"/>
      </w:pPr>
      <w:r>
        <w:t>Sistema automático convierte a 0-5</w:t>
      </w:r>
    </w:p>
    <w:p>
      <w:pPr>
        <w:pStyle w:val="Heading3"/>
        <w:keepNext/>
        <w:keepLines/>
      </w:pPr>
      <w:r>
        <w:t>Paso 3: Validar Datos</w:t>
      </w:r>
    </w:p>
    <w:p>
      <w:pPr>
        <w:pStyle w:val="ListBullet"/>
        <w:keepLines w:val="1"/>
        <w:keepNext w:val="1"/>
        <w:widowControl w:val="1"/>
      </w:pPr>
      <w:r>
        <w:t>Verificar no hay campos vacíos</w:t>
      </w:r>
    </w:p>
    <w:p>
      <w:pPr>
        <w:pStyle w:val="ListBullet"/>
        <w:keepLines w:val="1"/>
        <w:widowControl w:val="1"/>
      </w:pPr>
      <w:r>
        <w:t>Cross-check con evidencia (certificados, reportes)</w:t>
      </w:r>
    </w:p>
    <w:p>
      <w:pPr>
        <w:pStyle w:val="Heading3"/>
        <w:keepNext/>
        <w:keepLines/>
      </w:pPr>
      <w:r>
        <w:t>Paso 4: Generar IGM</w:t>
      </w:r>
    </w:p>
    <w:p>
      <w:pPr>
        <w:pStyle w:val="ListBullet"/>
        <w:keepLines w:val="1"/>
        <w:keepNext w:val="1"/>
        <w:widowControl w:val="1"/>
      </w:pPr>
      <w:r>
        <w:t>Hoja "Cálculo IGM" auto-calcula</w:t>
      </w:r>
    </w:p>
    <w:p>
      <w:pPr>
        <w:pStyle w:val="ListBullet"/>
        <w:keepLines w:val="1"/>
        <w:keepNext w:val="1"/>
        <w:widowControl w:val="1"/>
      </w:pPr>
      <w:r>
        <w:t>Asignar a Maturity Level</w:t>
      </w:r>
    </w:p>
    <w:p>
      <w:pPr>
        <w:pStyle w:val="ListBullet"/>
        <w:keepLines w:val="1"/>
        <w:widowControl w:val="1"/>
      </w:pPr>
      <w:r>
        <w:t>Identificar gaps principales</w:t>
      </w:r>
    </w:p>
    <w:p>
      <w:pPr>
        <w:pStyle w:val="Heading3"/>
        <w:keepNext/>
        <w:keepLines/>
      </w:pPr>
      <w:r>
        <w:t>Paso 5: Crear Roadmap</w:t>
      </w:r>
    </w:p>
    <w:p>
      <w:pPr>
        <w:pStyle w:val="ListBullet"/>
        <w:keepLines w:val="1"/>
        <w:keepNext w:val="1"/>
        <w:widowControl w:val="1"/>
      </w:pPr>
      <w:r>
        <w:t>Seleccionar iniciativas rápido-impacto (Q1)</w:t>
      </w:r>
    </w:p>
    <w:p>
      <w:pPr>
        <w:pStyle w:val="ListBullet"/>
        <w:keepLines w:val="1"/>
        <w:keepNext w:val="1"/>
        <w:widowControl w:val="1"/>
      </w:pPr>
      <w:r>
        <w:t>Planificar estratégicas (Q2-Q3)</w:t>
      </w:r>
    </w:p>
    <w:p>
      <w:pPr>
        <w:pStyle w:val="ListBullet"/>
        <w:keepLines w:val="1"/>
        <w:widowControl w:val="1"/>
      </w:pPr>
      <w:r>
        <w:t>Optimización sostenible (Q4-Q6)</w:t>
      </w:r>
    </w:p>
    <w:p>
      <w:pPr>
        <w:pStyle w:val="Heading3"/>
        <w:keepNext/>
        <w:keepLines/>
      </w:pPr>
      <w:r>
        <w:t>Paso 6: Presentar Ejecutiva</w:t>
      </w:r>
    </w:p>
    <w:p>
      <w:pPr>
        <w:pStyle w:val="ListBullet"/>
        <w:keepLines w:val="1"/>
        <w:keepNext w:val="1"/>
        <w:widowControl w:val="1"/>
      </w:pPr>
      <w:r>
        <w:t>Dashboard visual (1 página)</w:t>
      </w:r>
    </w:p>
    <w:p>
      <w:pPr>
        <w:pStyle w:val="ListBullet"/>
        <w:keepLines w:val="1"/>
        <w:keepNext w:val="1"/>
        <w:widowControl w:val="1"/>
      </w:pPr>
      <w:r>
        <w:t>ROI + Roadmap (2 páginas)</w:t>
      </w:r>
    </w:p>
    <w:p>
      <w:pPr>
        <w:pStyle w:val="ListBullet"/>
        <w:keepLines w:val="1"/>
        <w:widowControl w:val="1"/>
      </w:pPr>
      <w:r>
        <w:t>Recomendaciones específicas (1 página)</w:t>
      </w:r>
    </w:p>
    <w:p>
      <w:pPr>
        <w:pStyle w:val="Heading2"/>
        <w:keepNext/>
        <w:keepLines/>
      </w:pPr>
      <w:r>
        <w:rPr>
          <w:color w:val="0066CC"/>
        </w:rPr>
        <w:t>CASOS DE USO</w:t>
      </w:r>
    </w:p>
    <w:p>
      <w:pPr>
        <w:pStyle w:val="Heading3"/>
        <w:keepNext/>
        <w:keepLines/>
      </w:pPr>
      <w:r>
        <w:t>UC1: Benchmarking Interno Trimestral</w:t>
      </w:r>
    </w:p>
    <w:p>
      <w:pPr>
        <w:pStyle w:val="ListBullet"/>
        <w:keepLines w:val="1"/>
        <w:keepNext w:val="1"/>
        <w:widowControl w:val="1"/>
      </w:pPr>
      <w:r>
        <w:t>Rellenar encuesta cada Q</w:t>
      </w:r>
    </w:p>
    <w:p>
      <w:pPr>
        <w:pStyle w:val="ListBullet"/>
        <w:keepLines w:val="1"/>
        <w:keepNext w:val="1"/>
        <w:widowControl w:val="1"/>
      </w:pPr>
      <w:r>
        <w:t>Comparar IGM vs Q anterior</w:t>
      </w:r>
    </w:p>
    <w:p>
      <w:pPr>
        <w:pStyle w:val="ListBullet"/>
        <w:keepLines w:val="1"/>
        <w:widowControl w:val="1"/>
      </w:pPr>
      <w:r>
        <w:t>Visualizar tendencias</w:t>
      </w:r>
    </w:p>
    <w:p>
      <w:pPr>
        <w:pStyle w:val="Heading3"/>
        <w:keepNext/>
        <w:keepLines/>
      </w:pPr>
      <w:r>
        <w:t>UC2: Auditoría Externa</w:t>
      </w:r>
    </w:p>
    <w:p>
      <w:pPr>
        <w:pStyle w:val="ListBullet"/>
        <w:keepLines w:val="1"/>
        <w:keepNext w:val="1"/>
        <w:widowControl w:val="1"/>
      </w:pPr>
      <w:r>
        <w:t>Proporcionar plantilla pre-rellenada</w:t>
      </w:r>
    </w:p>
    <w:p>
      <w:pPr>
        <w:pStyle w:val="ListBullet"/>
        <w:keepLines w:val="1"/>
        <w:keepNext w:val="1"/>
        <w:widowControl w:val="1"/>
      </w:pPr>
      <w:r>
        <w:t>Auditor valida y ajusta</w:t>
      </w:r>
    </w:p>
    <w:p>
      <w:pPr>
        <w:pStyle w:val="ListBullet"/>
        <w:keepLines w:val="1"/>
        <w:widowControl w:val="1"/>
      </w:pPr>
      <w:r>
        <w:t>IGM independiente como score de entrada</w:t>
      </w:r>
    </w:p>
    <w:p>
      <w:pPr>
        <w:pStyle w:val="Heading3"/>
        <w:keepNext/>
        <w:keepLines/>
      </w:pPr>
      <w:r>
        <w:t>UC3: Investment Business Case</w:t>
      </w:r>
    </w:p>
    <w:p>
      <w:pPr>
        <w:pStyle w:val="ListBullet"/>
        <w:keepLines w:val="1"/>
        <w:keepNext w:val="1"/>
        <w:widowControl w:val="1"/>
      </w:pPr>
      <w:r>
        <w:t>Usar ROI Sheet para justificar presupuesto</w:t>
      </w:r>
    </w:p>
    <w:p>
      <w:pPr>
        <w:pStyle w:val="ListBullet"/>
        <w:keepLines w:val="1"/>
        <w:keepNext w:val="1"/>
        <w:widowControl w:val="1"/>
      </w:pPr>
      <w:r>
        <w:t>Presentar IGM actual → proyectado</w:t>
      </w:r>
    </w:p>
    <w:p>
      <w:pPr>
        <w:pStyle w:val="ListBullet"/>
        <w:keepLines w:val="1"/>
        <w:widowControl w:val="1"/>
      </w:pPr>
      <w:r>
        <w:t>CFO ve "payback en 34 días"</w:t>
      </w:r>
    </w:p>
    <w:p>
      <w:pPr>
        <w:pStyle w:val="Heading3"/>
        <w:keepNext/>
        <w:keepLines/>
      </w:pPr>
      <w:r>
        <w:t>UC4: Supply Chain Risk</w:t>
      </w:r>
    </w:p>
    <w:p>
      <w:pPr>
        <w:pStyle w:val="ListBullet"/>
        <w:keepLines w:val="1"/>
        <w:keepNext w:val="1"/>
        <w:widowControl w:val="1"/>
      </w:pPr>
      <w:r>
        <w:t>Entregar a proveedores críticos</w:t>
      </w:r>
    </w:p>
    <w:p>
      <w:pPr>
        <w:pStyle w:val="ListBullet"/>
        <w:keepLines w:val="1"/>
        <w:keepNext w:val="1"/>
        <w:widowControl w:val="1"/>
      </w:pPr>
      <w:r>
        <w:t>Recopilar IGM de terceros</w:t>
      </w:r>
    </w:p>
    <w:p>
      <w:pPr>
        <w:pStyle w:val="ListBullet"/>
        <w:keepLines w:val="1"/>
        <w:widowControl w:val="1"/>
      </w:pPr>
      <w:r>
        <w:t>Identificar riesgos de proveedores débiles</w:t>
      </w:r>
    </w:p>
    <w:p>
      <w:pPr>
        <w:pStyle w:val="Heading2"/>
        <w:keepNext/>
        <w:keepLines/>
      </w:pPr>
      <w:r>
        <w:rPr>
          <w:color w:val="0066CC"/>
        </w:rPr>
        <w:t>LIMITACIONES Y NOTAS</w:t>
      </w:r>
    </w:p>
    <w:p>
      <w:pPr>
        <w:pStyle w:val="ListNumber"/>
        <w:keepLines w:val="1"/>
        <w:keepNext w:val="1"/>
        <w:widowControl w:val="1"/>
      </w:pPr>
      <w:r>
        <w:t>Datos auto-reportados: Requieren validación externa (auditoría)</w:t>
      </w:r>
    </w:p>
    <w:p>
      <w:pPr>
        <w:pStyle w:val="ListNumber"/>
        <w:keepLines w:val="1"/>
        <w:keepNext w:val="1"/>
        <w:widowControl w:val="1"/>
      </w:pPr>
      <w:r>
        <w:t>Ponderaciones: Pueden ajustarse por industria/regulación</w:t>
      </w:r>
    </w:p>
    <w:p>
      <w:pPr>
        <w:pStyle w:val="ListNumber"/>
        <w:keepLines w:val="1"/>
        <w:keepNext w:val="1"/>
        <w:widowControl w:val="1"/>
      </w:pPr>
      <w:r>
        <w:t>Benchmarks: Actualizar anualmente con datos de mercado</w:t>
      </w:r>
    </w:p>
    <w:p>
      <w:pPr>
        <w:pStyle w:val="ListNumber"/>
        <w:keepLines w:val="1"/>
        <w:keepNext w:val="1"/>
        <w:widowControl w:val="1"/>
      </w:pPr>
      <w:r>
        <w:t>No es predictor: IGM es "fotografía", no garantiza evitar incidente próximo</w:t>
      </w:r>
    </w:p>
    <w:p>
      <w:pPr>
        <w:pStyle w:val="ListNumber"/>
        <w:keepLines w:val="1"/>
        <w:widowControl w:val="1"/>
      </w:pPr>
      <w:r>
        <w:t>Confidencialidad: Plantilla contiene datos sensibles (no compartir públicamente)</w:t>
      </w:r>
    </w:p>
    <w:p>
      <w:r>
        <w:rPr>
          <w:b/>
        </w:rPr>
        <w:t>Fin de Plantilla Excel</w:t>
      </w:r>
    </w:p>
    <w:p>
      <w:r>
        <w:rPr>
          <w:i/>
        </w:rPr>
        <w:t>Descargar archivo Excel en: [URL de repositorio]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