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sobre KEV, vulnerabilidades, pentesting, SIEM y capacitación</w:t>
      </w:r>
    </w:p>
    <w:p>
      <w:r>
        <w:rPr>
          <w:b/>
        </w:rPr>
        <w:t>Instrucciones generales</w:t>
      </w:r>
      <w:r/>
      <w:r>
        <w:br/>
        <w:t>- Esta encuesta está pensada para ser respondida por el equipo responsable de ciberseguridad (idealmente, de forma conjunta).</w:t>
      </w:r>
      <w:r/>
      <w:r>
        <w:br/>
        <w:t>- No hay respuestas «buenas» o «malas»: solo fotografías más o menos nítidas de la realidad.</w:t>
      </w:r>
      <w:r/>
      <w:r>
        <w:br/>
        <w:t xml:space="preserve">- Elija siempre la opción que </w:t>
      </w:r>
      <w:r>
        <w:rPr>
          <w:b/>
        </w:rPr>
        <w:t>mejor describa la práctica habitual</w:t>
      </w:r>
      <w:r>
        <w:t>, no la deseable ni la que figura en la presentación corporativa.</w:t>
      </w:r>
    </w:p>
    <w:p>
      <w:r>
        <w:t>Cada pregunta incluye un identificador (por ejemplo, GOV-01) para facilitar el análisis posterior.</w:t>
      </w:r>
    </w:p>
    <w:p>
      <w:pPr>
        <w:pStyle w:val="Heading2"/>
        <w:keepNext/>
        <w:keepLines/>
      </w:pPr>
      <w:r>
        <w:rPr>
          <w:color w:val="0066CC"/>
        </w:rPr>
        <w:t>Bloque 0. Perfil de la organización (PERF)</w:t>
      </w:r>
    </w:p>
    <w:p>
      <w:r>
        <w:rPr>
          <w:b/>
        </w:rPr>
        <w:t>PERF-01. Tipo de organización</w:t>
      </w:r>
      <w:r/>
      <w:r>
        <w:br/>
        <w:t>(Seleccione la opción principal)</w:t>
      </w:r>
    </w:p>
    <w:p>
      <w:pPr>
        <w:pStyle w:val="ListBullet"/>
        <w:keepLines w:val="1"/>
        <w:keepNext w:val="1"/>
        <w:widowControl w:val="1"/>
      </w:pPr>
      <w:r>
        <w:t>a) Administración pública.</w:t>
      </w:r>
    </w:p>
    <w:p>
      <w:pPr>
        <w:pStyle w:val="ListBullet"/>
        <w:keepLines w:val="1"/>
        <w:keepNext w:val="1"/>
        <w:widowControl w:val="1"/>
      </w:pPr>
      <w:r>
        <w:t>b) Empresa privada.</w:t>
      </w:r>
    </w:p>
    <w:p>
      <w:pPr>
        <w:pStyle w:val="ListBullet"/>
        <w:keepLines w:val="1"/>
        <w:keepNext w:val="1"/>
        <w:widowControl w:val="1"/>
      </w:pPr>
      <w:r>
        <w:t>c) Entidad sin ánimo de lucro.</w:t>
      </w:r>
    </w:p>
    <w:p>
      <w:pPr>
        <w:pStyle w:val="ListBullet"/>
        <w:keepLines w:val="1"/>
        <w:widowControl w:val="1"/>
      </w:pPr>
      <w:r>
        <w:t>d) Otro tipo (especificar).</w:t>
      </w:r>
    </w:p>
    <w:p>
      <w:r>
        <w:rPr>
          <w:b/>
        </w:rPr>
        <w:t>PERF-02. Tamaño aproximado de la organización</w:t>
      </w:r>
    </w:p>
    <w:p>
      <w:pPr>
        <w:pStyle w:val="ListBullet"/>
        <w:keepLines w:val="1"/>
        <w:keepNext w:val="1"/>
        <w:widowControl w:val="1"/>
      </w:pPr>
      <w:r>
        <w:t>a) Micro (hasta 10 personas).</w:t>
      </w:r>
    </w:p>
    <w:p>
      <w:pPr>
        <w:pStyle w:val="ListBullet"/>
        <w:keepLines w:val="1"/>
        <w:keepNext w:val="1"/>
        <w:widowControl w:val="1"/>
      </w:pPr>
      <w:r>
        <w:t>b) Pequeña (11–50 personas).</w:t>
      </w:r>
    </w:p>
    <w:p>
      <w:pPr>
        <w:pStyle w:val="ListBullet"/>
        <w:keepLines w:val="1"/>
        <w:keepNext w:val="1"/>
        <w:widowControl w:val="1"/>
      </w:pPr>
      <w:r>
        <w:t>c) Mediana (51–250 personas).</w:t>
      </w:r>
    </w:p>
    <w:p>
      <w:pPr>
        <w:pStyle w:val="ListBullet"/>
        <w:keepLines w:val="1"/>
        <w:widowControl w:val="1"/>
      </w:pPr>
      <w:r>
        <w:t>d) Grande (más de 250 personas).</w:t>
      </w:r>
    </w:p>
    <w:p>
      <w:r>
        <w:rPr>
          <w:b/>
        </w:rPr>
        <w:t>PERF-03. Sector de actividad principal</w:t>
      </w:r>
    </w:p>
    <w:p>
      <w:pPr>
        <w:pStyle w:val="ListBullet"/>
        <w:keepLines w:val="1"/>
        <w:keepNext w:val="1"/>
        <w:widowControl w:val="1"/>
      </w:pPr>
      <w:r>
        <w:t>a) Sector público / Administración.</w:t>
      </w:r>
    </w:p>
    <w:p>
      <w:pPr>
        <w:pStyle w:val="ListBullet"/>
        <w:keepLines w:val="1"/>
        <w:keepNext w:val="1"/>
        <w:widowControl w:val="1"/>
      </w:pPr>
      <w:r>
        <w:t>b) Finanzas y seguros.</w:t>
      </w:r>
    </w:p>
    <w:p>
      <w:pPr>
        <w:pStyle w:val="ListBullet"/>
        <w:keepLines w:val="1"/>
        <w:keepNext w:val="1"/>
        <w:widowControl w:val="1"/>
      </w:pPr>
      <w:r>
        <w:t>c) Sanidad y servicios sociales.</w:t>
      </w:r>
    </w:p>
    <w:p>
      <w:pPr>
        <w:pStyle w:val="ListBullet"/>
        <w:keepLines w:val="1"/>
        <w:keepNext w:val="1"/>
        <w:widowControl w:val="1"/>
      </w:pPr>
      <w:r>
        <w:t>d) Industria y energía.</w:t>
      </w:r>
    </w:p>
    <w:p>
      <w:pPr>
        <w:pStyle w:val="ListBullet"/>
        <w:keepLines w:val="1"/>
        <w:keepNext w:val="1"/>
        <w:widowControl w:val="1"/>
      </w:pPr>
      <w:r>
        <w:t>e) TIC y servicios digitales.</w:t>
      </w:r>
    </w:p>
    <w:p>
      <w:pPr>
        <w:pStyle w:val="ListBullet"/>
        <w:keepLines w:val="1"/>
        <w:keepNext w:val="1"/>
        <w:widowControl w:val="1"/>
      </w:pPr>
      <w:r>
        <w:t>f) Educación e investigación.</w:t>
      </w:r>
    </w:p>
    <w:p>
      <w:pPr>
        <w:pStyle w:val="ListBullet"/>
        <w:keepLines w:val="1"/>
        <w:widowControl w:val="1"/>
      </w:pPr>
      <w:r>
        <w:t>g) Otros sectores.</w:t>
      </w:r>
    </w:p>
    <w:p>
      <w:r>
        <w:rPr>
          <w:b/>
        </w:rPr>
        <w:t>PERF-04. Ámbito geográfico predominante</w:t>
      </w:r>
    </w:p>
    <w:p>
      <w:pPr>
        <w:pStyle w:val="ListBullet"/>
        <w:keepLines w:val="1"/>
        <w:keepNext w:val="1"/>
        <w:widowControl w:val="1"/>
      </w:pPr>
      <w:r>
        <w:t>a) Local / regional.</w:t>
      </w:r>
    </w:p>
    <w:p>
      <w:pPr>
        <w:pStyle w:val="ListBullet"/>
        <w:keepLines w:val="1"/>
        <w:keepNext w:val="1"/>
        <w:widowControl w:val="1"/>
      </w:pPr>
      <w:r>
        <w:t>b) Nacional.</w:t>
      </w:r>
    </w:p>
    <w:p>
      <w:pPr>
        <w:pStyle w:val="ListBullet"/>
        <w:keepLines w:val="1"/>
        <w:keepNext w:val="1"/>
        <w:widowControl w:val="1"/>
      </w:pPr>
      <w:r>
        <w:t>c) Multinacional con presencia en la UE.</w:t>
      </w:r>
    </w:p>
    <w:p>
      <w:pPr>
        <w:pStyle w:val="ListBullet"/>
        <w:keepLines w:val="1"/>
        <w:widowControl w:val="1"/>
      </w:pPr>
      <w:r>
        <w:t>d) Multinacional global.</w:t>
      </w:r>
    </w:p>
    <w:p>
      <w:pPr>
        <w:pStyle w:val="Heading2"/>
        <w:keepNext/>
        <w:keepLines/>
      </w:pPr>
      <w:r>
        <w:rPr>
          <w:color w:val="0066CC"/>
        </w:rPr>
        <w:t>Bloque 1. Gobierno y estrategia de vulnerabilidades (GOV)</w:t>
      </w:r>
    </w:p>
    <w:p>
      <w:r>
        <w:rPr>
          <w:b/>
        </w:rPr>
        <w:t>GOV-01. Política de gestión de vulnerabilidades y KEV</w:t>
      </w:r>
    </w:p>
    <w:p>
      <w:pPr>
        <w:pStyle w:val="ListBullet"/>
        <w:keepLines w:val="1"/>
        <w:keepNext w:val="1"/>
        <w:widowControl w:val="1"/>
      </w:pPr>
      <w:r>
        <w:t>a) No existe política formal de gestión de vulnerabilidades.</w:t>
      </w:r>
    </w:p>
    <w:p>
      <w:pPr>
        <w:pStyle w:val="ListBullet"/>
        <w:keepLines w:val="1"/>
        <w:keepNext w:val="1"/>
        <w:widowControl w:val="1"/>
      </w:pPr>
      <w:r>
        <w:t>b) Existe política formal, pero no menciona explícitamente KEV.</w:t>
      </w:r>
    </w:p>
    <w:p>
      <w:pPr>
        <w:pStyle w:val="ListBullet"/>
        <w:keepLines w:val="1"/>
        <w:keepNext w:val="1"/>
        <w:widowControl w:val="1"/>
      </w:pPr>
      <w:r>
        <w:t>c) Existe política formal que menciona KEV, pero sin criterios claros de priorización.</w:t>
      </w:r>
    </w:p>
    <w:p>
      <w:pPr>
        <w:pStyle w:val="ListBullet"/>
        <w:keepLines w:val="1"/>
        <w:widowControl w:val="1"/>
      </w:pPr>
      <w:r>
        <w:t>d) Existe política formal que integra KEV como elemento central de priorización y se revisa periódicamente.</w:t>
      </w:r>
    </w:p>
    <w:p>
      <w:r>
        <w:rPr>
          <w:b/>
        </w:rPr>
        <w:t>GOV-02. Asignación de responsabilidades sobre KEV</w:t>
      </w:r>
    </w:p>
    <w:p>
      <w:pPr>
        <w:pStyle w:val="ListBullet"/>
        <w:keepLines w:val="1"/>
        <w:keepNext w:val="1"/>
        <w:widowControl w:val="1"/>
      </w:pPr>
      <w:r>
        <w:t>a) No hay responsables claramente definidos; «es cosa de TI» en general.</w:t>
      </w:r>
    </w:p>
    <w:p>
      <w:pPr>
        <w:pStyle w:val="ListBullet"/>
        <w:keepLines w:val="1"/>
        <w:keepNext w:val="1"/>
        <w:widowControl w:val="1"/>
      </w:pPr>
      <w:r>
        <w:t>b) Existe un responsable técnico informal, sin respaldo explícito de la dirección.</w:t>
      </w:r>
    </w:p>
    <w:p>
      <w:pPr>
        <w:pStyle w:val="ListBullet"/>
        <w:keepLines w:val="1"/>
        <w:keepNext w:val="1"/>
        <w:widowControl w:val="1"/>
      </w:pPr>
      <w:r>
        <w:t>c) Hay un responsable formal de gestión de vulnerabilidades/KEV con mandato definido.</w:t>
      </w:r>
    </w:p>
    <w:p>
      <w:pPr>
        <w:pStyle w:val="ListBullet"/>
        <w:keepLines w:val="1"/>
        <w:widowControl w:val="1"/>
      </w:pPr>
      <w:r>
        <w:t>d) Existen responsables formales y un órgano de gobierno (comité, etc.) que supervisa periódicamente el estado de KEV.</w:t>
      </w:r>
    </w:p>
    <w:p>
      <w:r>
        <w:rPr>
          <w:b/>
        </w:rPr>
        <w:t>GOV-03. Integración de KEV en la gestión de riesgos</w:t>
      </w:r>
    </w:p>
    <w:p>
      <w:pPr>
        <w:pStyle w:val="ListBullet"/>
        <w:keepLines w:val="1"/>
        <w:keepNext w:val="1"/>
        <w:widowControl w:val="1"/>
      </w:pPr>
      <w:r>
        <w:t>a) KEV no se consideran específicamente en el análisis de riesgos.</w:t>
      </w:r>
    </w:p>
    <w:p>
      <w:pPr>
        <w:pStyle w:val="ListBullet"/>
        <w:keepLines w:val="1"/>
        <w:keepNext w:val="1"/>
        <w:widowControl w:val="1"/>
      </w:pPr>
      <w:r>
        <w:t>b) KEV se tienen en cuenta de forma ad hoc cuando aparece un aviso especialmente preocupante.</w:t>
      </w:r>
    </w:p>
    <w:p>
      <w:pPr>
        <w:pStyle w:val="ListBullet"/>
        <w:keepLines w:val="1"/>
        <w:keepNext w:val="1"/>
        <w:widowControl w:val="1"/>
      </w:pPr>
      <w:r>
        <w:t>c) KEV se integran de forma sistemática en los registros de riesgo de TI/ciberseguridad.</w:t>
      </w:r>
    </w:p>
    <w:p>
      <w:pPr>
        <w:pStyle w:val="ListBullet"/>
        <w:keepLines w:val="1"/>
        <w:widowControl w:val="1"/>
      </w:pPr>
      <w:r>
        <w:t>d) KEV se integran en los registros de riesgo corporativo y se reportan a la alta dirección.</w:t>
      </w:r>
    </w:p>
    <w:p>
      <w:r>
        <w:rPr>
          <w:b/>
        </w:rPr>
        <w:t>GOV-04. Frecuencia de revisión del catálogo KEV frente al entorno de la organización</w:t>
      </w:r>
    </w:p>
    <w:p>
      <w:pPr>
        <w:pStyle w:val="ListBullet"/>
        <w:keepLines w:val="1"/>
        <w:keepNext w:val="1"/>
        <w:widowControl w:val="1"/>
      </w:pPr>
      <w:r>
        <w:t>a) No se revisa de manera sistemática.</w:t>
      </w:r>
    </w:p>
    <w:p>
      <w:pPr>
        <w:pStyle w:val="ListBullet"/>
        <w:keepLines w:val="1"/>
        <w:keepNext w:val="1"/>
        <w:widowControl w:val="1"/>
      </w:pPr>
      <w:r>
        <w:t>b) Se revisa de forma esporádica (alguna vez al año, cuando hay tiempo).</w:t>
      </w:r>
    </w:p>
    <w:p>
      <w:pPr>
        <w:pStyle w:val="ListBullet"/>
        <w:keepLines w:val="1"/>
        <w:keepNext w:val="1"/>
        <w:widowControl w:val="1"/>
      </w:pPr>
      <w:r>
        <w:t>c) Se revisa al menos mensualmente.</w:t>
      </w:r>
    </w:p>
    <w:p>
      <w:pPr>
        <w:pStyle w:val="ListBullet"/>
        <w:keepLines w:val="1"/>
        <w:widowControl w:val="1"/>
      </w:pPr>
      <w:r>
        <w:t>d) Se revisa semanal o diariamente, con procesos definidos de correlación.</w:t>
      </w:r>
    </w:p>
    <w:p>
      <w:r>
        <w:rPr>
          <w:b/>
        </w:rPr>
        <w:t>GOV-05. Criterios de priorización de vulnerabilidades</w:t>
      </w:r>
    </w:p>
    <w:p>
      <w:pPr>
        <w:pStyle w:val="ListBullet"/>
        <w:keepLines w:val="1"/>
        <w:keepNext w:val="1"/>
        <w:widowControl w:val="1"/>
      </w:pPr>
      <w:r>
        <w:t>a) Se parchea «lo que se puede» según urgencias percibidas.</w:t>
      </w:r>
    </w:p>
    <w:p>
      <w:pPr>
        <w:pStyle w:val="ListBullet"/>
        <w:keepLines w:val="1"/>
        <w:keepNext w:val="1"/>
        <w:widowControl w:val="1"/>
      </w:pPr>
      <w:r>
        <w:t>b) Se prioriza principalmente por CVSS u otro indicador de severidad técnica.</w:t>
      </w:r>
    </w:p>
    <w:p>
      <w:pPr>
        <w:pStyle w:val="ListBullet"/>
        <w:keepLines w:val="1"/>
        <w:keepNext w:val="1"/>
        <w:widowControl w:val="1"/>
      </w:pPr>
      <w:r>
        <w:t>c) Se prioriza combinando CVSS con la etiqueta KEV y consideraciones de negocio.</w:t>
      </w:r>
    </w:p>
    <w:p>
      <w:pPr>
        <w:pStyle w:val="ListBullet"/>
        <w:keepLines w:val="1"/>
        <w:widowControl w:val="1"/>
      </w:pPr>
      <w:r>
        <w:t>d) Se prioriza utilizando un marco formal que integra KEV, CVSS/EPSS y contexto de negocio (impacto, exposición, cumplimiento).</w:t>
      </w:r>
    </w:p>
    <w:p>
      <w:r>
        <w:rPr>
          <w:b/>
        </w:rPr>
        <w:t>GOV-06. Definición de objetivos y SLAs de remediación para KEV</w:t>
      </w:r>
    </w:p>
    <w:p>
      <w:pPr>
        <w:pStyle w:val="ListBullet"/>
        <w:keepLines w:val="1"/>
        <w:keepNext w:val="1"/>
        <w:widowControl w:val="1"/>
      </w:pPr>
      <w:r>
        <w:t>a) No hay objetivos ni plazos definidos para remediar KEV.</w:t>
      </w:r>
    </w:p>
    <w:p>
      <w:pPr>
        <w:pStyle w:val="ListBullet"/>
        <w:keepLines w:val="1"/>
        <w:keepNext w:val="1"/>
        <w:widowControl w:val="1"/>
      </w:pPr>
      <w:r>
        <w:t>b) Hay objetivos genéricos (por ejemplo, «parchear lo antes posible»), no medidos.</w:t>
      </w:r>
    </w:p>
    <w:p>
      <w:pPr>
        <w:pStyle w:val="ListBullet"/>
        <w:keepLines w:val="1"/>
        <w:keepNext w:val="1"/>
        <w:widowControl w:val="1"/>
      </w:pPr>
      <w:r>
        <w:t>c) Existen SLAs específicos para KEV, pero no se monitoriza sistemáticamente su cumplimiento.</w:t>
      </w:r>
    </w:p>
    <w:p>
      <w:pPr>
        <w:pStyle w:val="ListBullet"/>
        <w:keepLines w:val="1"/>
        <w:widowControl w:val="1"/>
      </w:pPr>
      <w:r>
        <w:t>d) Existen SLAs específicos para KEV, se monitorizan y se reporta su cumplimiento a la dirección.</w:t>
      </w:r>
    </w:p>
    <w:p>
      <w:pPr>
        <w:pStyle w:val="Heading2"/>
        <w:keepNext/>
        <w:keepLines/>
      </w:pPr>
      <w:r>
        <w:rPr>
          <w:color w:val="0066CC"/>
        </w:rPr>
        <w:t>Bloque 2. Gestión operativa de vulnerabilidades y KEV (VUL)</w:t>
      </w:r>
    </w:p>
    <w:p>
      <w:r>
        <w:rPr>
          <w:b/>
        </w:rPr>
        <w:t>VUL-01. Inventario de activos</w:t>
      </w:r>
    </w:p>
    <w:p>
      <w:pPr>
        <w:pStyle w:val="ListBullet"/>
        <w:keepLines w:val="1"/>
        <w:keepNext w:val="1"/>
        <w:widowControl w:val="1"/>
      </w:pPr>
      <w:r>
        <w:t>a) No existe inventario actualizado de activos relevantes (servidores, dispositivos perimetrales, aplicaciones clave…).</w:t>
      </w:r>
    </w:p>
    <w:p>
      <w:pPr>
        <w:pStyle w:val="ListBullet"/>
        <w:keepLines w:val="1"/>
        <w:keepNext w:val="1"/>
        <w:widowControl w:val="1"/>
      </w:pPr>
      <w:r>
        <w:t>b) Existe inventario parcial y desactualizado.</w:t>
      </w:r>
    </w:p>
    <w:p>
      <w:pPr>
        <w:pStyle w:val="ListBullet"/>
        <w:keepLines w:val="1"/>
        <w:keepNext w:val="1"/>
        <w:widowControl w:val="1"/>
      </w:pPr>
      <w:r>
        <w:t>c) Existe inventario razonablemente completo y se actualiza con cierta regularidad.</w:t>
      </w:r>
    </w:p>
    <w:p>
      <w:pPr>
        <w:pStyle w:val="ListBullet"/>
        <w:keepLines w:val="1"/>
        <w:widowControl w:val="1"/>
      </w:pPr>
      <w:r>
        <w:t>d) Existe inventario completo, automatizado y trazable (CMDB o equivalente), integrado con herramientas de seguridad.</w:t>
      </w:r>
    </w:p>
    <w:p>
      <w:r>
        <w:rPr>
          <w:b/>
        </w:rPr>
        <w:t>VUL-02. Detección de vulnerabilidades y etiquetado KEV</w:t>
      </w:r>
    </w:p>
    <w:p>
      <w:pPr>
        <w:pStyle w:val="ListBullet"/>
        <w:keepLines w:val="1"/>
        <w:keepNext w:val="1"/>
        <w:widowControl w:val="1"/>
      </w:pPr>
      <w:r>
        <w:t>a) No se utilizan herramientas de escaneo de vulnerabilidades.</w:t>
      </w:r>
    </w:p>
    <w:p>
      <w:pPr>
        <w:pStyle w:val="ListBullet"/>
        <w:keepLines w:val="1"/>
        <w:keepNext w:val="1"/>
        <w:widowControl w:val="1"/>
      </w:pPr>
      <w:r>
        <w:t>b) Se utilizan escáneres puntualmente, sin etiquetado específico de KEV.</w:t>
      </w:r>
    </w:p>
    <w:p>
      <w:pPr>
        <w:pStyle w:val="ListBullet"/>
        <w:keepLines w:val="1"/>
        <w:keepNext w:val="1"/>
        <w:widowControl w:val="1"/>
      </w:pPr>
      <w:r>
        <w:t>c) Se utilizan escáneres que reconocen KEV, pero sin procesos formales de explotación de esa información.</w:t>
      </w:r>
    </w:p>
    <w:p>
      <w:pPr>
        <w:pStyle w:val="ListBullet"/>
        <w:keepLines w:val="1"/>
        <w:widowControl w:val="1"/>
      </w:pPr>
      <w:r>
        <w:t>d) Se utilizan escáneres y/o plataformas ASM que etiquetan KEV y alimentan automáticamente los procesos de priorización.</w:t>
      </w:r>
    </w:p>
    <w:p>
      <w:r>
        <w:rPr>
          <w:b/>
        </w:rPr>
        <w:t>VUL-03. Correlación entre KEV y activos expuestos</w:t>
      </w:r>
    </w:p>
    <w:p>
      <w:pPr>
        <w:pStyle w:val="ListBullet"/>
        <w:keepLines w:val="1"/>
        <w:keepNext w:val="1"/>
        <w:widowControl w:val="1"/>
      </w:pPr>
      <w:r>
        <w:t>a) No se realiza correlación entre KEV y los activos de la organización.</w:t>
      </w:r>
    </w:p>
    <w:p>
      <w:pPr>
        <w:pStyle w:val="ListBullet"/>
        <w:keepLines w:val="1"/>
        <w:keepNext w:val="1"/>
        <w:widowControl w:val="1"/>
      </w:pPr>
      <w:r>
        <w:t>b) Se realiza correlación manual y puntual cuando hay avisos críticos.</w:t>
      </w:r>
    </w:p>
    <w:p>
      <w:pPr>
        <w:pStyle w:val="ListBullet"/>
        <w:keepLines w:val="1"/>
        <w:keepNext w:val="1"/>
        <w:widowControl w:val="1"/>
      </w:pPr>
      <w:r>
        <w:t>c) Existe un proceso semiautomatizado de correlación periódica.</w:t>
      </w:r>
    </w:p>
    <w:p>
      <w:pPr>
        <w:pStyle w:val="ListBullet"/>
        <w:keepLines w:val="1"/>
        <w:widowControl w:val="1"/>
      </w:pPr>
      <w:r>
        <w:t>d) La correlación KEV–activos está automatizada y se ejecuta como parte de los flujos estándar de gestión de vulnerabilidades.</w:t>
      </w:r>
    </w:p>
    <w:p>
      <w:r>
        <w:rPr>
          <w:b/>
        </w:rPr>
        <w:t>VUL-04. Medición del tiempo de remediación de KEV</w:t>
      </w:r>
    </w:p>
    <w:p>
      <w:pPr>
        <w:pStyle w:val="ListBullet"/>
        <w:keepLines w:val="1"/>
        <w:keepNext w:val="1"/>
        <w:widowControl w:val="1"/>
      </w:pPr>
      <w:r>
        <w:t>a) No se mide el tiempo que transcurre entre la inclusión de una KEV y su remediación.</w:t>
      </w:r>
    </w:p>
    <w:p>
      <w:pPr>
        <w:pStyle w:val="ListBullet"/>
        <w:keepLines w:val="1"/>
        <w:keepNext w:val="1"/>
        <w:widowControl w:val="1"/>
      </w:pPr>
      <w:r>
        <w:t>b) Se mide de forma informal o en casos concretos.</w:t>
      </w:r>
    </w:p>
    <w:p>
      <w:pPr>
        <w:pStyle w:val="ListBullet"/>
        <w:keepLines w:val="1"/>
        <w:keepNext w:val="1"/>
        <w:widowControl w:val="1"/>
      </w:pPr>
      <w:r>
        <w:t>c) Se mide sistemáticamente para KEV críticas y altas.</w:t>
      </w:r>
    </w:p>
    <w:p>
      <w:pPr>
        <w:pStyle w:val="ListBullet"/>
        <w:keepLines w:val="1"/>
        <w:widowControl w:val="1"/>
      </w:pPr>
      <w:r>
        <w:t>d) Se mide sistemáticamente para todas las KEV y se comparan con objetivos definidos.</w:t>
      </w:r>
    </w:p>
    <w:p>
      <w:r>
        <w:rPr>
          <w:b/>
        </w:rPr>
        <w:t>VUL-05. Porcentaje de KEV remediadas dentro del plazo objetivo</w:t>
      </w:r>
    </w:p>
    <w:p>
      <w:pPr>
        <w:pStyle w:val="ListBullet"/>
        <w:keepLines w:val="1"/>
        <w:keepNext w:val="1"/>
        <w:widowControl w:val="1"/>
      </w:pPr>
      <w:r>
        <w:t>a) No se dispone de este dato.</w:t>
      </w:r>
    </w:p>
    <w:p>
      <w:pPr>
        <w:pStyle w:val="ListBullet"/>
        <w:keepLines w:val="1"/>
        <w:keepNext w:val="1"/>
        <w:widowControl w:val="1"/>
      </w:pPr>
      <w:r>
        <w:t>b) Se estima que la mayoría de las KEV se remedia fuera de plazo.</w:t>
      </w:r>
    </w:p>
    <w:p>
      <w:pPr>
        <w:pStyle w:val="ListBullet"/>
        <w:keepLines w:val="1"/>
        <w:keepNext w:val="1"/>
        <w:widowControl w:val="1"/>
      </w:pPr>
      <w:r>
        <w:t>c) Aproximadamente la mitad de las KEV se remedia dentro de plazo.</w:t>
      </w:r>
    </w:p>
    <w:p>
      <w:pPr>
        <w:pStyle w:val="ListBullet"/>
        <w:keepLines w:val="1"/>
        <w:widowControl w:val="1"/>
      </w:pPr>
      <w:r>
        <w:t>d) La mayoría de las KEV se remedia dentro de plazo y se hace seguimiento de los casos retrasados.</w:t>
      </w:r>
    </w:p>
    <w:p>
      <w:r>
        <w:rPr>
          <w:b/>
        </w:rPr>
        <w:t>VUL-06. Tratamiento de dispositivos perimetrales y appliances críticos</w:t>
      </w:r>
    </w:p>
    <w:p>
      <w:pPr>
        <w:pStyle w:val="ListBullet"/>
        <w:keepLines w:val="1"/>
        <w:keepNext w:val="1"/>
        <w:widowControl w:val="1"/>
      </w:pPr>
      <w:r>
        <w:t>a) No se distingue entre vulnerabilidades en dispositivos perimetrales y en otros sistemas.</w:t>
      </w:r>
    </w:p>
    <w:p>
      <w:pPr>
        <w:pStyle w:val="ListBullet"/>
        <w:keepLines w:val="1"/>
        <w:keepNext w:val="1"/>
        <w:widowControl w:val="1"/>
      </w:pPr>
      <w:r>
        <w:t>b) Se presta atención especial a firewalls/VPN, pero sin procesos documentados.</w:t>
      </w:r>
    </w:p>
    <w:p>
      <w:pPr>
        <w:pStyle w:val="ListBullet"/>
        <w:keepLines w:val="1"/>
        <w:keepNext w:val="1"/>
        <w:widowControl w:val="1"/>
      </w:pPr>
      <w:r>
        <w:t>c) Existen procesos específicos para priorizar y parchear vulnerabilidades (incluidas KEV) en el perímetro.</w:t>
      </w:r>
    </w:p>
    <w:p>
      <w:pPr>
        <w:pStyle w:val="ListBullet"/>
        <w:keepLines w:val="1"/>
        <w:widowControl w:val="1"/>
      </w:pPr>
      <w:r>
        <w:t>d) Existe un programa formal de gestión de riesgos del perímetro con controles técnicos y de proceso claramente definidos.</w:t>
      </w:r>
    </w:p>
    <w:p>
      <w:r>
        <w:rPr>
          <w:b/>
        </w:rPr>
        <w:t>VUL-07. Gestión de sistemas legacy y vulnerabilidades antiguas</w:t>
      </w:r>
    </w:p>
    <w:p>
      <w:pPr>
        <w:pStyle w:val="ListBullet"/>
        <w:keepLines w:val="1"/>
        <w:keepNext w:val="1"/>
        <w:widowControl w:val="1"/>
      </w:pPr>
      <w:r>
        <w:t>a) Los sistemas legacy con vulnerabilidades conocidas se mantienen «mientras aguanten».</w:t>
      </w:r>
    </w:p>
    <w:p>
      <w:pPr>
        <w:pStyle w:val="ListBullet"/>
        <w:keepLines w:val="1"/>
        <w:keepNext w:val="1"/>
        <w:widowControl w:val="1"/>
      </w:pPr>
      <w:r>
        <w:t>b) Se aplican mitigaciones parciales, sin un plan claro de sustitución.</w:t>
      </w:r>
    </w:p>
    <w:p>
      <w:pPr>
        <w:pStyle w:val="ListBullet"/>
        <w:keepLines w:val="1"/>
        <w:keepNext w:val="1"/>
        <w:widowControl w:val="1"/>
      </w:pPr>
      <w:r>
        <w:t>c) Existen planes de sustitución o aislamiento progresivo para sistemas legacy vulnerables.</w:t>
      </w:r>
    </w:p>
    <w:p>
      <w:pPr>
        <w:pStyle w:val="ListBullet"/>
        <w:keepLines w:val="1"/>
        <w:widowControl w:val="1"/>
      </w:pPr>
      <w:r>
        <w:t>d) Se gestiona sistemáticamente el ciclo de vida y se minimiza la exposición a vulnerabilidades antiguas mediante sustitución, segmentación y compensación.</w:t>
      </w:r>
    </w:p>
    <w:p>
      <w:pPr>
        <w:pStyle w:val="Heading2"/>
        <w:keepNext/>
        <w:keepLines/>
      </w:pPr>
      <w:r>
        <w:rPr>
          <w:color w:val="0066CC"/>
        </w:rPr>
        <w:t>Bloque 3. Pruebas de penetración y ejercicios (PEN)</w:t>
      </w:r>
    </w:p>
    <w:p>
      <w:r>
        <w:rPr>
          <w:b/>
        </w:rPr>
        <w:t>PEN-01. Frecuencia de pruebas de penetración</w:t>
      </w:r>
    </w:p>
    <w:p>
      <w:pPr>
        <w:pStyle w:val="ListBullet"/>
        <w:keepLines w:val="1"/>
        <w:keepNext w:val="1"/>
        <w:widowControl w:val="1"/>
      </w:pPr>
      <w:r>
        <w:t>a) No se realizan pruebas de penetración.</w:t>
      </w:r>
    </w:p>
    <w:p>
      <w:pPr>
        <w:pStyle w:val="ListBullet"/>
        <w:keepLines w:val="1"/>
        <w:keepNext w:val="1"/>
        <w:widowControl w:val="1"/>
      </w:pPr>
      <w:r>
        <w:t>b) Se realizan de forma esporádica (menos de una vez cada dos años).</w:t>
      </w:r>
    </w:p>
    <w:p>
      <w:pPr>
        <w:pStyle w:val="ListBullet"/>
        <w:keepLines w:val="1"/>
        <w:keepNext w:val="1"/>
        <w:widowControl w:val="1"/>
      </w:pPr>
      <w:r>
        <w:t>c) Se realizan al menos anualmente en los sistemas críticos.</w:t>
      </w:r>
    </w:p>
    <w:p>
      <w:pPr>
        <w:pStyle w:val="ListBullet"/>
        <w:keepLines w:val="1"/>
        <w:widowControl w:val="1"/>
      </w:pPr>
      <w:r>
        <w:t>d) Se realizan pruebas regulares y específicas (incluyendo pruebas tras cambios significativos y despliegue de nuevos servicios).</w:t>
      </w:r>
    </w:p>
    <w:p>
      <w:r>
        <w:rPr>
          <w:b/>
        </w:rPr>
        <w:t>PEN-02. Cobertura de KEV en las pruebas de penetración</w:t>
      </w:r>
    </w:p>
    <w:p>
      <w:pPr>
        <w:pStyle w:val="ListBullet"/>
        <w:keepLines w:val="1"/>
        <w:keepNext w:val="1"/>
        <w:widowControl w:val="1"/>
      </w:pPr>
      <w:r>
        <w:t>a) Las pruebas no consideran explícitamente vulnerabilidades KEV.</w:t>
      </w:r>
    </w:p>
    <w:p>
      <w:pPr>
        <w:pStyle w:val="ListBullet"/>
        <w:keepLines w:val="1"/>
        <w:keepNext w:val="1"/>
        <w:widowControl w:val="1"/>
      </w:pPr>
      <w:r>
        <w:t>b) Se incluye alguna referencia a KEV cuando el proveedor lo propone.</w:t>
      </w:r>
    </w:p>
    <w:p>
      <w:pPr>
        <w:pStyle w:val="ListBullet"/>
        <w:keepLines w:val="1"/>
        <w:keepNext w:val="1"/>
        <w:widowControl w:val="1"/>
      </w:pPr>
      <w:r>
        <w:t>c) El alcance de las pruebas se define teniendo en cuenta las KEV relevantes para la organización.</w:t>
      </w:r>
    </w:p>
    <w:p>
      <w:pPr>
        <w:pStyle w:val="ListBullet"/>
        <w:keepLines w:val="1"/>
        <w:widowControl w:val="1"/>
      </w:pPr>
      <w:r>
        <w:t>d) Existe un alineamiento sistemático entre el catálogo de KEV y los escenarios de prueba (incluyendo campañas de threat hunting y ejercicios Red/Purple Team).</w:t>
      </w:r>
    </w:p>
    <w:p>
      <w:r>
        <w:rPr>
          <w:b/>
        </w:rPr>
        <w:t>PEN-03. Gestión de hallazgos de pentest</w:t>
      </w:r>
    </w:p>
    <w:p>
      <w:pPr>
        <w:pStyle w:val="ListBullet"/>
        <w:keepLines w:val="1"/>
        <w:keepNext w:val="1"/>
        <w:widowControl w:val="1"/>
      </w:pPr>
      <w:r>
        <w:t>a) Los informes de pentest se archivan con cariño y poca acción.</w:t>
      </w:r>
    </w:p>
    <w:p>
      <w:pPr>
        <w:pStyle w:val="ListBullet"/>
        <w:keepLines w:val="1"/>
        <w:keepNext w:val="1"/>
        <w:widowControl w:val="1"/>
      </w:pPr>
      <w:r>
        <w:t>b) Se corrigen algunos hallazgos críticos, sin trazabilidad completa.</w:t>
      </w:r>
    </w:p>
    <w:p>
      <w:pPr>
        <w:pStyle w:val="ListBullet"/>
        <w:keepLines w:val="1"/>
        <w:keepNext w:val="1"/>
        <w:widowControl w:val="1"/>
      </w:pPr>
      <w:r>
        <w:t>c) Existe un proceso formal de registro, priorización y seguimiento de hallazgos.</w:t>
      </w:r>
    </w:p>
    <w:p>
      <w:pPr>
        <w:pStyle w:val="ListBullet"/>
        <w:keepLines w:val="1"/>
        <w:widowControl w:val="1"/>
      </w:pPr>
      <w:r>
        <w:t>d) Los hallazgos se integran en la gestión de vulnerabilidades y en los registros de riesgo, con seguimiento hasta cierre.</w:t>
      </w:r>
    </w:p>
    <w:p>
      <w:r>
        <w:rPr>
          <w:b/>
        </w:rPr>
        <w:t>PEN-04. Uso de ejercicios Red/Purple Team</w:t>
      </w:r>
    </w:p>
    <w:p>
      <w:pPr>
        <w:pStyle w:val="ListBullet"/>
        <w:keepLines w:val="1"/>
        <w:keepNext w:val="1"/>
        <w:widowControl w:val="1"/>
      </w:pPr>
      <w:r>
        <w:t>a) No se realizan este tipo de ejercicios.</w:t>
      </w:r>
    </w:p>
    <w:p>
      <w:pPr>
        <w:pStyle w:val="ListBullet"/>
        <w:keepLines w:val="1"/>
        <w:keepNext w:val="1"/>
        <w:widowControl w:val="1"/>
      </w:pPr>
      <w:r>
        <w:t>b) Se han realizado ejercicios puntuales como demostración.</w:t>
      </w:r>
    </w:p>
    <w:p>
      <w:pPr>
        <w:pStyle w:val="ListBullet"/>
        <w:keepLines w:val="1"/>
        <w:keepNext w:val="1"/>
        <w:widowControl w:val="1"/>
      </w:pPr>
      <w:r>
        <w:t>c) Se realizan ejercicios planificados para probar escenarios específicos (incluyendo explotación de KEV).</w:t>
      </w:r>
    </w:p>
    <w:p>
      <w:pPr>
        <w:pStyle w:val="ListBullet"/>
        <w:keepLines w:val="1"/>
        <w:widowControl w:val="1"/>
      </w:pPr>
      <w:r>
        <w:t>d) Existe un programa continuado de ejercicios Red/Purple Team, integrado con la mejora del SOC y los procesos de respuesta.</w:t>
      </w:r>
    </w:p>
    <w:p>
      <w:r>
        <w:rPr>
          <w:b/>
        </w:rPr>
        <w:t>PEN-05. Verificación del cierre de KEV mediante pruebas</w:t>
      </w:r>
    </w:p>
    <w:p>
      <w:pPr>
        <w:pStyle w:val="ListBullet"/>
        <w:keepLines w:val="1"/>
        <w:keepNext w:val="1"/>
        <w:widowControl w:val="1"/>
      </w:pPr>
      <w:r>
        <w:t>a) No se verifica específicamente el cierre de KEV mediante pruebas.</w:t>
      </w:r>
    </w:p>
    <w:p>
      <w:pPr>
        <w:pStyle w:val="ListBullet"/>
        <w:keepLines w:val="1"/>
        <w:keepNext w:val="1"/>
        <w:widowControl w:val="1"/>
      </w:pPr>
      <w:r>
        <w:t>b) Se realizan pruebas manuales ad hoc para algunas KEV críticas.</w:t>
      </w:r>
    </w:p>
    <w:p>
      <w:pPr>
        <w:pStyle w:val="ListBullet"/>
        <w:keepLines w:val="1"/>
        <w:keepNext w:val="1"/>
        <w:widowControl w:val="1"/>
      </w:pPr>
      <w:r>
        <w:t>c) Se incluyen pruebas de verificación de cierre en el ciclo estándar de gestión de parches.</w:t>
      </w:r>
    </w:p>
    <w:p>
      <w:pPr>
        <w:pStyle w:val="ListBullet"/>
        <w:keepLines w:val="1"/>
        <w:widowControl w:val="1"/>
      </w:pPr>
      <w:r>
        <w:t>d) Se combinan pruebas automatizadas y manuales para verificar sistemáticamente el cierre de KEV especialmente relevantes.</w:t>
      </w:r>
    </w:p>
    <w:p>
      <w:pPr>
        <w:pStyle w:val="Heading2"/>
        <w:keepNext/>
        <w:keepLines/>
      </w:pPr>
      <w:r>
        <w:rPr>
          <w:color w:val="0066CC"/>
        </w:rPr>
        <w:t>Bloque 4. Monitorización, SIEM y detección (SIEM)</w:t>
      </w:r>
    </w:p>
    <w:p>
      <w:r>
        <w:rPr>
          <w:b/>
        </w:rPr>
        <w:t>SIEM-01. Situación de SIEM/SOC</w:t>
      </w:r>
    </w:p>
    <w:p>
      <w:pPr>
        <w:pStyle w:val="ListBullet"/>
        <w:keepLines w:val="1"/>
        <w:keepNext w:val="1"/>
        <w:widowControl w:val="1"/>
      </w:pPr>
      <w:r>
        <w:t>a) No se dispone de SIEM ni de SOC.</w:t>
      </w:r>
    </w:p>
    <w:p>
      <w:pPr>
        <w:pStyle w:val="ListBullet"/>
        <w:keepLines w:val="1"/>
        <w:keepNext w:val="1"/>
        <w:widowControl w:val="1"/>
      </w:pPr>
      <w:r>
        <w:t>b) Se dispone de registros dispersos y cierto monitoreo manual.</w:t>
      </w:r>
    </w:p>
    <w:p>
      <w:pPr>
        <w:pStyle w:val="ListBullet"/>
        <w:keepLines w:val="1"/>
        <w:keepNext w:val="1"/>
        <w:widowControl w:val="1"/>
      </w:pPr>
      <w:r>
        <w:t>c) Se dispone de SIEM/SOC parcial (por ejemplo, horario laboral, cobertura limitada).</w:t>
      </w:r>
    </w:p>
    <w:p>
      <w:pPr>
        <w:pStyle w:val="ListBullet"/>
        <w:keepLines w:val="1"/>
        <w:widowControl w:val="1"/>
      </w:pPr>
      <w:r>
        <w:t>d) Se dispone de SIEM/SOC con monitoreo estructurado (idealmente 24x7, interno o externalizado).</w:t>
      </w:r>
    </w:p>
    <w:p>
      <w:r>
        <w:rPr>
          <w:b/>
        </w:rPr>
        <w:t>SIEM-02. Casos de uso para detección de explotación de vulnerabilidades</w:t>
      </w:r>
    </w:p>
    <w:p>
      <w:pPr>
        <w:pStyle w:val="ListBullet"/>
        <w:keepLines w:val="1"/>
        <w:keepNext w:val="1"/>
        <w:widowControl w:val="1"/>
      </w:pPr>
      <w:r>
        <w:t>a) No existen casos de uso específicos relacionados con explotación de vulnerabilidades.</w:t>
      </w:r>
    </w:p>
    <w:p>
      <w:pPr>
        <w:pStyle w:val="ListBullet"/>
        <w:keepLines w:val="1"/>
        <w:keepNext w:val="1"/>
        <w:widowControl w:val="1"/>
      </w:pPr>
      <w:r>
        <w:t>b) Existen algunas reglas genéricas de detección de anomalías o firmas.</w:t>
      </w:r>
    </w:p>
    <w:p>
      <w:pPr>
        <w:pStyle w:val="ListBullet"/>
        <w:keepLines w:val="1"/>
        <w:keepNext w:val="1"/>
        <w:widowControl w:val="1"/>
      </w:pPr>
      <w:r>
        <w:t>c) Existen casos de uso definidos para detectar explotación de vulnerabilidades críticas y KEV relevantes.</w:t>
      </w:r>
    </w:p>
    <w:p>
      <w:pPr>
        <w:pStyle w:val="ListBullet"/>
        <w:keepLines w:val="1"/>
        <w:widowControl w:val="1"/>
      </w:pPr>
      <w:r>
        <w:t>d) Los casos de uso se actualizan de forma sistemática en función de nuevas KEV y de la inteligencia de amenazas.</w:t>
      </w:r>
    </w:p>
    <w:p>
      <w:r>
        <w:rPr>
          <w:b/>
        </w:rPr>
        <w:t>SIEM-03. Fuentes de logs y visibilidad</w:t>
      </w:r>
    </w:p>
    <w:p>
      <w:pPr>
        <w:pStyle w:val="ListBullet"/>
        <w:keepLines w:val="1"/>
        <w:keepNext w:val="1"/>
        <w:widowControl w:val="1"/>
      </w:pPr>
      <w:r>
        <w:t>a) Se recopilan pocos registros y no necesariamente de los sistemas más críticos.</w:t>
      </w:r>
    </w:p>
    <w:p>
      <w:pPr>
        <w:pStyle w:val="ListBullet"/>
        <w:keepLines w:val="1"/>
        <w:keepNext w:val="1"/>
        <w:widowControl w:val="1"/>
      </w:pPr>
      <w:r>
        <w:t>b) Se recopilan logs de algunos sistemas clave (por ejemplo, firewalls), pero no de forma integral.</w:t>
      </w:r>
    </w:p>
    <w:p>
      <w:pPr>
        <w:pStyle w:val="ListBullet"/>
        <w:keepLines w:val="1"/>
        <w:keepNext w:val="1"/>
        <w:widowControl w:val="1"/>
      </w:pPr>
      <w:r>
        <w:t>c) Se recopilan logs de la mayoría de sistemas críticos, incluyendo perímetro, servidores y aplicaciones relevantes.</w:t>
      </w:r>
    </w:p>
    <w:p>
      <w:pPr>
        <w:pStyle w:val="ListBullet"/>
        <w:keepLines w:val="1"/>
        <w:widowControl w:val="1"/>
      </w:pPr>
      <w:r>
        <w:t>d) La recolección de logs cubre de forma sistemática los sistemas críticos, dispositivos perimetrales, aplicaciones expuestas, plataformas CI/CD y otros elementos clave.</w:t>
      </w:r>
    </w:p>
    <w:p>
      <w:r>
        <w:rPr>
          <w:b/>
        </w:rPr>
        <w:t>SIEM-04. Integración de inteligencia de amenazas</w:t>
      </w:r>
    </w:p>
    <w:p>
      <w:pPr>
        <w:pStyle w:val="ListBullet"/>
        <w:keepLines w:val="1"/>
        <w:keepNext w:val="1"/>
        <w:widowControl w:val="1"/>
      </w:pPr>
      <w:r>
        <w:t>a) No se utiliza inteligencia de amenazas.</w:t>
      </w:r>
    </w:p>
    <w:p>
      <w:pPr>
        <w:pStyle w:val="ListBullet"/>
        <w:keepLines w:val="1"/>
        <w:keepNext w:val="1"/>
        <w:widowControl w:val="1"/>
      </w:pPr>
      <w:r>
        <w:t>b) Se consultan ocasionalmente fuentes públicas o boletines.</w:t>
      </w:r>
    </w:p>
    <w:p>
      <w:pPr>
        <w:pStyle w:val="ListBullet"/>
        <w:keepLines w:val="1"/>
        <w:keepNext w:val="1"/>
        <w:widowControl w:val="1"/>
      </w:pPr>
      <w:r>
        <w:t>c) Se utilizan feeds de inteligencia y se integran parcialmente en el SIEM.</w:t>
      </w:r>
    </w:p>
    <w:p>
      <w:pPr>
        <w:pStyle w:val="ListBullet"/>
        <w:keepLines w:val="1"/>
        <w:widowControl w:val="1"/>
      </w:pPr>
      <w:r>
        <w:t>d) Existe integración estructurada de inteligencia de amenazas (incluyendo KEV) en el SIEM y los casos de uso.</w:t>
      </w:r>
    </w:p>
    <w:p>
      <w:r>
        <w:rPr>
          <w:b/>
        </w:rPr>
        <w:t>SIEM-05. Capacidad de detección basada en comportamiento</w:t>
      </w:r>
    </w:p>
    <w:p>
      <w:pPr>
        <w:pStyle w:val="ListBullet"/>
        <w:keepLines w:val="1"/>
        <w:keepNext w:val="1"/>
        <w:widowControl w:val="1"/>
      </w:pPr>
      <w:r>
        <w:t>a) La detección se basa casi exclusivamente en firmas y reglas estáticas.</w:t>
      </w:r>
    </w:p>
    <w:p>
      <w:pPr>
        <w:pStyle w:val="ListBullet"/>
        <w:keepLines w:val="1"/>
        <w:keepNext w:val="1"/>
        <w:widowControl w:val="1"/>
      </w:pPr>
      <w:r>
        <w:t>b) Se utilizan algunas capacidades básicas de detección de anomalías.</w:t>
      </w:r>
    </w:p>
    <w:p>
      <w:pPr>
        <w:pStyle w:val="ListBullet"/>
        <w:keepLines w:val="1"/>
        <w:keepNext w:val="1"/>
        <w:widowControl w:val="1"/>
      </w:pPr>
      <w:r>
        <w:t>c) Se emplean herramientas de EDR/NDR/UEBA con uso activo de sus capacidades.</w:t>
      </w:r>
    </w:p>
    <w:p>
      <w:pPr>
        <w:pStyle w:val="ListBullet"/>
        <w:keepLines w:val="1"/>
        <w:widowControl w:val="1"/>
      </w:pPr>
      <w:r>
        <w:t>d) La detección basada en comportamiento es un pilar del SOC, con tuning y revisión continua.</w:t>
      </w:r>
    </w:p>
    <w:p>
      <w:r>
        <w:rPr>
          <w:b/>
        </w:rPr>
        <w:t>SIEM-06. Medición del tiempo medio de detección (MTTD) de incidentes relacionados con vulnerabilidades</w:t>
      </w:r>
    </w:p>
    <w:p>
      <w:pPr>
        <w:pStyle w:val="ListBullet"/>
        <w:keepLines w:val="1"/>
        <w:keepNext w:val="1"/>
        <w:widowControl w:val="1"/>
      </w:pPr>
      <w:r>
        <w:t>a) No se mide el MTTD.</w:t>
      </w:r>
    </w:p>
    <w:p>
      <w:pPr>
        <w:pStyle w:val="ListBullet"/>
        <w:keepLines w:val="1"/>
        <w:keepNext w:val="1"/>
        <w:widowControl w:val="1"/>
      </w:pPr>
      <w:r>
        <w:t>b) Se dispone de estimaciones aproximadas en algunos casos.</w:t>
      </w:r>
    </w:p>
    <w:p>
      <w:pPr>
        <w:pStyle w:val="ListBullet"/>
        <w:keepLines w:val="1"/>
        <w:keepNext w:val="1"/>
        <w:widowControl w:val="1"/>
      </w:pPr>
      <w:r>
        <w:t>c) Se mide el MTTD para una parte de los incidentes.</w:t>
      </w:r>
    </w:p>
    <w:p>
      <w:pPr>
        <w:pStyle w:val="ListBullet"/>
        <w:keepLines w:val="1"/>
        <w:widowControl w:val="1"/>
      </w:pPr>
      <w:r>
        <w:t>d) Se mide sistemáticamente el MTTD y se utilizan los resultados para mejorar procesos y capacidades.</w:t>
      </w:r>
    </w:p>
    <w:p>
      <w:pPr>
        <w:pStyle w:val="Heading2"/>
        <w:keepNext/>
        <w:keepLines/>
      </w:pPr>
      <w:r>
        <w:rPr>
          <w:color w:val="0066CC"/>
        </w:rPr>
        <w:t>Bloque 5. Capacitación y cultura de seguridad (AWR)</w:t>
      </w:r>
    </w:p>
    <w:p>
      <w:r>
        <w:rPr>
          <w:b/>
        </w:rPr>
        <w:t>AWR-01. Programa de formación general en seguridad</w:t>
      </w:r>
    </w:p>
    <w:p>
      <w:pPr>
        <w:pStyle w:val="ListBullet"/>
        <w:keepLines w:val="1"/>
        <w:keepNext w:val="1"/>
        <w:widowControl w:val="1"/>
      </w:pPr>
      <w:r>
        <w:t>a) No existe programa de formación estructurado.</w:t>
      </w:r>
    </w:p>
    <w:p>
      <w:pPr>
        <w:pStyle w:val="ListBullet"/>
        <w:keepLines w:val="1"/>
        <w:keepNext w:val="1"/>
        <w:widowControl w:val="1"/>
      </w:pPr>
      <w:r>
        <w:t>b) Se ofrecen formaciones puntuales o materiales esporádicos.</w:t>
      </w:r>
    </w:p>
    <w:p>
      <w:pPr>
        <w:pStyle w:val="ListBullet"/>
        <w:keepLines w:val="1"/>
        <w:keepNext w:val="1"/>
        <w:widowControl w:val="1"/>
      </w:pPr>
      <w:r>
        <w:t>c) Existe un programa anual de formación obligatoria para el personal.</w:t>
      </w:r>
    </w:p>
    <w:p>
      <w:pPr>
        <w:pStyle w:val="ListBullet"/>
        <w:keepLines w:val="1"/>
        <w:widowControl w:val="1"/>
      </w:pPr>
      <w:r>
        <w:t>d) Existe un programa continuo y segmentado (por perfiles), con seguimiento de participación y resultados.</w:t>
      </w:r>
    </w:p>
    <w:p>
      <w:r>
        <w:rPr>
          <w:b/>
        </w:rPr>
        <w:t>AWR-02. Formación específica para perfiles técnicos sobre vulnerabilidades y KEV</w:t>
      </w:r>
    </w:p>
    <w:p>
      <w:pPr>
        <w:pStyle w:val="ListBullet"/>
        <w:keepLines w:val="1"/>
        <w:keepNext w:val="1"/>
        <w:widowControl w:val="1"/>
      </w:pPr>
      <w:r>
        <w:t>a) No se ofrece formación específica más allá del autoaprendizaje.</w:t>
      </w:r>
    </w:p>
    <w:p>
      <w:pPr>
        <w:pStyle w:val="ListBullet"/>
        <w:keepLines w:val="1"/>
        <w:keepNext w:val="1"/>
        <w:widowControl w:val="1"/>
      </w:pPr>
      <w:r>
        <w:t>b) Se ofrecen ocasionalmente formaciones o webinars técnicos.</w:t>
      </w:r>
    </w:p>
    <w:p>
      <w:pPr>
        <w:pStyle w:val="ListBullet"/>
        <w:keepLines w:val="1"/>
        <w:keepNext w:val="1"/>
        <w:widowControl w:val="1"/>
      </w:pPr>
      <w:r>
        <w:t>c) Existe un plan de formación técnica recurrente para administradores, desarrolladores y personal de seguridad.</w:t>
      </w:r>
    </w:p>
    <w:p>
      <w:pPr>
        <w:pStyle w:val="ListBullet"/>
        <w:keepLines w:val="1"/>
        <w:widowControl w:val="1"/>
      </w:pPr>
      <w:r>
        <w:t>d) La formación técnica está alineada explícitamente con tendencias (incluidas KEV) y se revisa al menos anualmente.</w:t>
      </w:r>
    </w:p>
    <w:p>
      <w:r>
        <w:rPr>
          <w:b/>
        </w:rPr>
        <w:t>AWR-03. Simulaciones y ejercicios de concienciación</w:t>
      </w:r>
    </w:p>
    <w:p>
      <w:pPr>
        <w:pStyle w:val="ListBullet"/>
        <w:keepLines w:val="1"/>
        <w:keepNext w:val="1"/>
        <w:widowControl w:val="1"/>
      </w:pPr>
      <w:r>
        <w:t>a) No se realizan simulaciones (phishing, ejercicios de respuesta, etc.).</w:t>
      </w:r>
    </w:p>
    <w:p>
      <w:pPr>
        <w:pStyle w:val="ListBullet"/>
        <w:keepLines w:val="1"/>
        <w:keepNext w:val="1"/>
        <w:widowControl w:val="1"/>
      </w:pPr>
      <w:r>
        <w:t>b) Se realizan campañas puntuales de phishing simulado.</w:t>
      </w:r>
    </w:p>
    <w:p>
      <w:pPr>
        <w:pStyle w:val="ListBullet"/>
        <w:keepLines w:val="1"/>
        <w:keepNext w:val="1"/>
        <w:widowControl w:val="1"/>
      </w:pPr>
      <w:r>
        <w:t>c) Se realizan campañas regulares y se analizan los resultados.</w:t>
      </w:r>
    </w:p>
    <w:p>
      <w:pPr>
        <w:pStyle w:val="ListBullet"/>
        <w:keepLines w:val="1"/>
        <w:widowControl w:val="1"/>
      </w:pPr>
      <w:r>
        <w:t>d) Se combinan simulaciones de phishing, ejercicios de respuesta y campañas específicas ligadas a incidentes y vulnerabilidades recientes.</w:t>
      </w:r>
    </w:p>
    <w:p>
      <w:r>
        <w:rPr>
          <w:b/>
        </w:rPr>
        <w:t>AWR-04. Cultura de reporte de incidentes y sospechas</w:t>
      </w:r>
    </w:p>
    <w:p>
      <w:pPr>
        <w:pStyle w:val="ListBullet"/>
        <w:keepLines w:val="1"/>
        <w:keepNext w:val="1"/>
        <w:widowControl w:val="1"/>
      </w:pPr>
      <w:r>
        <w:t>a) No existe un canal claro para reportar incidentes o comportamientos sospechosos.</w:t>
      </w:r>
    </w:p>
    <w:p>
      <w:pPr>
        <w:pStyle w:val="ListBullet"/>
        <w:keepLines w:val="1"/>
        <w:keepNext w:val="1"/>
        <w:widowControl w:val="1"/>
      </w:pPr>
      <w:r>
        <w:t>b) Existe un canal formal, pero la cultura de reporte es baja.</w:t>
      </w:r>
    </w:p>
    <w:p>
      <w:pPr>
        <w:pStyle w:val="ListBullet"/>
        <w:keepLines w:val="1"/>
        <w:keepNext w:val="1"/>
        <w:widowControl w:val="1"/>
      </w:pPr>
      <w:r>
        <w:t>c) El personal conoce los canales y los utiliza en cierta medida.</w:t>
      </w:r>
    </w:p>
    <w:p>
      <w:pPr>
        <w:pStyle w:val="ListBullet"/>
        <w:keepLines w:val="1"/>
        <w:widowControl w:val="1"/>
      </w:pPr>
      <w:r>
        <w:t>d) La cultura de reporte está asentada y se refuerza activamente (comunicaciones, reconocimiento, etc.).</w:t>
      </w:r>
    </w:p>
    <w:p>
      <w:r>
        <w:rPr>
          <w:b/>
        </w:rPr>
        <w:t>AWR-05. Medición de la eficacia de la capacitación</w:t>
      </w:r>
    </w:p>
    <w:p>
      <w:pPr>
        <w:pStyle w:val="ListBullet"/>
        <w:keepLines w:val="1"/>
        <w:keepNext w:val="1"/>
        <w:widowControl w:val="1"/>
      </w:pPr>
      <w:r>
        <w:t>a) No se mide la eficacia de la formación.</w:t>
      </w:r>
    </w:p>
    <w:p>
      <w:pPr>
        <w:pStyle w:val="ListBullet"/>
        <w:keepLines w:val="1"/>
        <w:keepNext w:val="1"/>
        <w:widowControl w:val="1"/>
      </w:pPr>
      <w:r>
        <w:t>b) Se mide únicamente la asistencia o finalización.</w:t>
      </w:r>
    </w:p>
    <w:p>
      <w:pPr>
        <w:pStyle w:val="ListBullet"/>
        <w:keepLines w:val="1"/>
        <w:keepNext w:val="1"/>
        <w:widowControl w:val="1"/>
      </w:pPr>
      <w:r>
        <w:t>c) Se realizan pruebas de conocimiento o ejercicios prácticos asociados a la formación.</w:t>
      </w:r>
    </w:p>
    <w:p>
      <w:pPr>
        <w:pStyle w:val="ListBullet"/>
        <w:keepLines w:val="1"/>
        <w:widowControl w:val="1"/>
      </w:pPr>
      <w:r>
        <w:t>d) Se analizan resultados en el tiempo y se ajusta el programa en función de los mismos.</w:t>
      </w:r>
    </w:p>
    <w:p>
      <w:pPr>
        <w:pStyle w:val="Heading2"/>
        <w:keepNext/>
        <w:keepLines/>
      </w:pPr>
      <w:r>
        <w:rPr>
          <w:color w:val="0066CC"/>
        </w:rPr>
        <w:t>Bloque 6. Métricas, indicadores y ROI (MET)</w:t>
      </w:r>
    </w:p>
    <w:p>
      <w:r>
        <w:rPr>
          <w:b/>
        </w:rPr>
        <w:t>MET-01. Indicadores sobre vulnerabilidades y KEV</w:t>
      </w:r>
    </w:p>
    <w:p>
      <w:pPr>
        <w:pStyle w:val="ListBullet"/>
        <w:keepLines w:val="1"/>
        <w:keepNext w:val="1"/>
        <w:widowControl w:val="1"/>
      </w:pPr>
      <w:r>
        <w:t>a) No se monitorizan indicadores relacionados con vulnerabilidades.</w:t>
      </w:r>
    </w:p>
    <w:p>
      <w:pPr>
        <w:pStyle w:val="ListBullet"/>
        <w:keepLines w:val="1"/>
        <w:keepNext w:val="1"/>
        <w:widowControl w:val="1"/>
      </w:pPr>
      <w:r>
        <w:t>b) Se monitoriza algún indicador básico (por ejemplo, número de vulnerabilidades abiertas).</w:t>
      </w:r>
    </w:p>
    <w:p>
      <w:pPr>
        <w:pStyle w:val="ListBullet"/>
        <w:keepLines w:val="1"/>
        <w:keepNext w:val="1"/>
        <w:widowControl w:val="1"/>
      </w:pPr>
      <w:r>
        <w:t>c) Se monitorizan indicadores específicos sobre KEV (número, tiempos de remediación, cumplimiento de plazos…).</w:t>
      </w:r>
    </w:p>
    <w:p>
      <w:pPr>
        <w:pStyle w:val="ListBullet"/>
        <w:keepLines w:val="1"/>
        <w:widowControl w:val="1"/>
      </w:pPr>
      <w:r>
        <w:t>d) Existe un cuadro de mando de vulnerabilidades/KEV con indicadores regularmente revisados y utilizados en la toma de decisiones.</w:t>
      </w:r>
    </w:p>
    <w:p>
      <w:r>
        <w:rPr>
          <w:b/>
        </w:rPr>
        <w:t>MET-02. Indicadores sobre pentesting y SIEM</w:t>
      </w:r>
    </w:p>
    <w:p>
      <w:pPr>
        <w:pStyle w:val="ListBullet"/>
        <w:keepLines w:val="1"/>
        <w:keepNext w:val="1"/>
        <w:widowControl w:val="1"/>
      </w:pPr>
      <w:r>
        <w:t>a) No se dispone de indicadores estructurados.</w:t>
      </w:r>
    </w:p>
    <w:p>
      <w:pPr>
        <w:pStyle w:val="ListBullet"/>
        <w:keepLines w:val="1"/>
        <w:keepNext w:val="1"/>
        <w:widowControl w:val="1"/>
      </w:pPr>
      <w:r>
        <w:t>b) Se recogen algunos datos (número de pruebas, volumen de alertas, etc.), sin análisis sistemático.</w:t>
      </w:r>
    </w:p>
    <w:p>
      <w:pPr>
        <w:pStyle w:val="ListBullet"/>
        <w:keepLines w:val="1"/>
        <w:keepNext w:val="1"/>
        <w:widowControl w:val="1"/>
      </w:pPr>
      <w:r>
        <w:t>c) Se monitorizan indicadores de rendimiento y eficacia (por ejemplo, número de hallazgos críticos, MTTD, MTTR).</w:t>
      </w:r>
    </w:p>
    <w:p>
      <w:pPr>
        <w:pStyle w:val="ListBullet"/>
        <w:keepLines w:val="1"/>
        <w:widowControl w:val="1"/>
      </w:pPr>
      <w:r>
        <w:t>d) Los indicadores se analizan periódicamente y se utilizan para justificar recursos y reorientar estrategias.</w:t>
      </w:r>
    </w:p>
    <w:p>
      <w:r>
        <w:rPr>
          <w:b/>
        </w:rPr>
        <w:t>MET-03. Uso de benchmarks y referencias externas</w:t>
      </w:r>
    </w:p>
    <w:p>
      <w:pPr>
        <w:pStyle w:val="ListBullet"/>
        <w:keepLines w:val="1"/>
        <w:keepNext w:val="1"/>
        <w:widowControl w:val="1"/>
      </w:pPr>
      <w:r>
        <w:t>a) No se utilizan benchmarks externos.</w:t>
      </w:r>
    </w:p>
    <w:p>
      <w:pPr>
        <w:pStyle w:val="ListBullet"/>
        <w:keepLines w:val="1"/>
        <w:keepNext w:val="1"/>
        <w:widowControl w:val="1"/>
      </w:pPr>
      <w:r>
        <w:t>b) Se consultan ocasionalmente informes de referencia (ENISA, CISA, etc.).</w:t>
      </w:r>
    </w:p>
    <w:p>
      <w:pPr>
        <w:pStyle w:val="ListBullet"/>
        <w:keepLines w:val="1"/>
        <w:keepNext w:val="1"/>
        <w:widowControl w:val="1"/>
      </w:pPr>
      <w:r>
        <w:t>c) Se comparan sistemáticamente algunos indicadores internos con benchmarks externos.</w:t>
      </w:r>
    </w:p>
    <w:p>
      <w:pPr>
        <w:pStyle w:val="ListBullet"/>
        <w:keepLines w:val="1"/>
        <w:widowControl w:val="1"/>
      </w:pPr>
      <w:r>
        <w:t>d) Los resultados de benchmarking se integran en la planificación estratégica y en la comunicación con la dirección.</w:t>
      </w:r>
    </w:p>
    <w:p>
      <w:r>
        <w:rPr>
          <w:b/>
        </w:rPr>
        <w:t>MET-04. Cálculo de ROI en iniciativas de seguridad</w:t>
      </w:r>
    </w:p>
    <w:p>
      <w:pPr>
        <w:pStyle w:val="ListBullet"/>
        <w:keepLines w:val="1"/>
        <w:keepNext w:val="1"/>
        <w:widowControl w:val="1"/>
      </w:pPr>
      <w:r>
        <w:t>a) No se considera el ROI en las decisiones de seguridad; se actúa por «necesidad percibida».</w:t>
      </w:r>
    </w:p>
    <w:p>
      <w:pPr>
        <w:pStyle w:val="ListBullet"/>
        <w:keepLines w:val="1"/>
        <w:keepNext w:val="1"/>
        <w:widowControl w:val="1"/>
      </w:pPr>
      <w:r>
        <w:t>b) Se estima el ROI de forma cualitativa en algunas iniciativas.</w:t>
      </w:r>
    </w:p>
    <w:p>
      <w:pPr>
        <w:pStyle w:val="ListBullet"/>
        <w:keepLines w:val="1"/>
        <w:keepNext w:val="1"/>
        <w:widowControl w:val="1"/>
      </w:pPr>
      <w:r>
        <w:t>c) Se realizan análisis cuantitativos básicos de coste/beneficio.</w:t>
      </w:r>
    </w:p>
    <w:p>
      <w:pPr>
        <w:pStyle w:val="ListBullet"/>
        <w:keepLines w:val="1"/>
        <w:widowControl w:val="1"/>
      </w:pPr>
      <w:r>
        <w:t>d) El cálculo de ROI (incluyendo reducción de pérdida esperada asociada a vulnerabilidades/KEV) forma parte habitual de los business case de seguridad.</w:t>
      </w:r>
    </w:p>
    <w:p>
      <w:r>
        <w:rPr>
          <w:b/>
        </w:rPr>
        <w:t>MET-05. Madurez percibida en gestión de vulnerabilidades y KEV</w:t>
      </w:r>
    </w:p>
    <w:p>
      <w:r>
        <w:t>En una escala de 1 a 5, donde 1 es «Muy baja» y 5 es «Muy alta», ¿cómo valoraría la madurez global de su organización en gestión de vulnerabilidades y KEV?</w:t>
      </w:r>
    </w:p>
    <w:p>
      <w:pPr>
        <w:pStyle w:val="ListBullet"/>
        <w:keepLines w:val="1"/>
        <w:keepNext w:val="1"/>
        <w:widowControl w:val="1"/>
      </w:pPr>
      <w:r>
        <w:t>1) Muy baja.</w:t>
      </w:r>
    </w:p>
    <w:p>
      <w:pPr>
        <w:pStyle w:val="ListBullet"/>
        <w:keepLines w:val="1"/>
        <w:keepNext w:val="1"/>
        <w:widowControl w:val="1"/>
      </w:pPr>
      <w:r>
        <w:t>2) Baja.</w:t>
      </w:r>
    </w:p>
    <w:p>
      <w:pPr>
        <w:pStyle w:val="ListBullet"/>
        <w:keepLines w:val="1"/>
        <w:keepNext w:val="1"/>
        <w:widowControl w:val="1"/>
      </w:pPr>
      <w:r>
        <w:t>3) Media.</w:t>
      </w:r>
    </w:p>
    <w:p>
      <w:pPr>
        <w:pStyle w:val="ListBullet"/>
        <w:keepLines w:val="1"/>
        <w:keepNext w:val="1"/>
        <w:widowControl w:val="1"/>
      </w:pPr>
      <w:r>
        <w:t>4) Alta.</w:t>
      </w:r>
    </w:p>
    <w:p>
      <w:pPr>
        <w:pStyle w:val="ListBullet"/>
        <w:keepLines w:val="1"/>
        <w:widowControl w:val="1"/>
      </w:pPr>
      <w:r>
        <w:t>5) Muy alta.</w:t>
      </w:r>
    </w:p>
    <w:p>
      <w:pPr>
        <w:pStyle w:val="Heading2"/>
        <w:keepNext/>
        <w:keepLines/>
      </w:pPr>
      <w:r>
        <w:rPr>
          <w:color w:val="0066CC"/>
        </w:rPr>
        <w:t>Bloque 7. Planes de mejora y obstáculos (IMP)</w:t>
      </w:r>
    </w:p>
    <w:p>
      <w:r>
        <w:rPr>
          <w:b/>
        </w:rPr>
        <w:t>IMP-01. Existencia de un plan de mejora específico</w:t>
      </w:r>
    </w:p>
    <w:p>
      <w:pPr>
        <w:pStyle w:val="ListBullet"/>
        <w:keepLines w:val="1"/>
        <w:keepNext w:val="1"/>
        <w:widowControl w:val="1"/>
      </w:pPr>
      <w:r>
        <w:t>a) No existe un plan de mejora específico en gestión de vulnerabilidades/KEV.</w:t>
      </w:r>
    </w:p>
    <w:p>
      <w:pPr>
        <w:pStyle w:val="ListBullet"/>
        <w:keepLines w:val="1"/>
        <w:keepNext w:val="1"/>
        <w:widowControl w:val="1"/>
      </w:pPr>
      <w:r>
        <w:t>b) Se contemplan acciones de mejora dispersas en distintos planes.</w:t>
      </w:r>
    </w:p>
    <w:p>
      <w:pPr>
        <w:pStyle w:val="ListBullet"/>
        <w:keepLines w:val="1"/>
        <w:keepNext w:val="1"/>
        <w:widowControl w:val="1"/>
      </w:pPr>
      <w:r>
        <w:t>c) Existe un plan de mejora definido, pero con ejecución parcial.</w:t>
      </w:r>
    </w:p>
    <w:p>
      <w:pPr>
        <w:pStyle w:val="ListBullet"/>
        <w:keepLines w:val="1"/>
        <w:widowControl w:val="1"/>
      </w:pPr>
      <w:r>
        <w:t>d) Existe un plan de mejora priorizado, con responsables, plazos y seguimiento.</w:t>
      </w:r>
    </w:p>
    <w:p>
      <w:r>
        <w:rPr>
          <w:b/>
        </w:rPr>
        <w:t>IMP-02. Principales obstáculos percibidos</w:t>
      </w:r>
      <w:r/>
      <w:r>
        <w:br/>
        <w:t>(Selección múltiple)</w:t>
      </w:r>
    </w:p>
    <w:p>
      <w:pPr>
        <w:pStyle w:val="ListBullet"/>
        <w:keepLines w:val="1"/>
        <w:keepNext w:val="1"/>
        <w:widowControl w:val="1"/>
      </w:pPr>
      <w:r>
        <w:t>a) Recursos económicos limitados.</w:t>
      </w:r>
    </w:p>
    <w:p>
      <w:pPr>
        <w:pStyle w:val="ListBullet"/>
        <w:keepLines w:val="1"/>
        <w:keepNext w:val="1"/>
        <w:widowControl w:val="1"/>
      </w:pPr>
      <w:r>
        <w:t>b) Falta de personal especializado.</w:t>
      </w:r>
    </w:p>
    <w:p>
      <w:pPr>
        <w:pStyle w:val="ListBullet"/>
        <w:keepLines w:val="1"/>
        <w:keepNext w:val="1"/>
        <w:widowControl w:val="1"/>
      </w:pPr>
      <w:r>
        <w:t>c) Complejidad técnica/legada del entorno.</w:t>
      </w:r>
    </w:p>
    <w:p>
      <w:pPr>
        <w:pStyle w:val="ListBullet"/>
        <w:keepLines w:val="1"/>
        <w:keepNext w:val="1"/>
        <w:widowControl w:val="1"/>
      </w:pPr>
      <w:r>
        <w:t>d) Falta de apoyo o comprensión por parte de la dirección.</w:t>
      </w:r>
    </w:p>
    <w:p>
      <w:pPr>
        <w:pStyle w:val="ListBullet"/>
        <w:keepLines w:val="1"/>
        <w:keepNext w:val="1"/>
        <w:widowControl w:val="1"/>
      </w:pPr>
      <w:r>
        <w:t>e) Sobrecarga operativa y falta de tiempo.</w:t>
      </w:r>
    </w:p>
    <w:p>
      <w:pPr>
        <w:pStyle w:val="ListBullet"/>
        <w:keepLines w:val="1"/>
        <w:widowControl w:val="1"/>
      </w:pPr>
      <w:r>
        <w:t>f) Otros (especificar).</w:t>
      </w:r>
    </w:p>
    <w:p>
      <w:r>
        <w:rPr>
          <w:b/>
        </w:rPr>
        <w:t>IMP-03. Comentarios y sugerencias adicionales</w:t>
      </w:r>
      <w:r/>
      <w:r>
        <w:br/>
        <w:t>(Pregunta abierta)</w:t>
      </w:r>
    </w:p>
    <w:p>
      <w:pPr>
        <w:pStyle w:val="ListBullet"/>
        <w:keepLines w:val="1"/>
        <w:widowControl w:val="1"/>
      </w:pPr>
      <w:r>
        <w:t>Espacio para que la organización añada cualquier comentario que considere relevante sobre su situación, prioridades o necesidades en materia de gestión de vulnerabilidades, KEV, pentesting, SIEM y capacitación.</w:t>
      </w:r>
    </w:p>
    <w:p>
      <w:r>
        <w:t>Con esto concluye el cuestionario. Si han llegado hasta aquí, ya han demostrado un nivel notable de resiliencia… al menos frente a las encuestas. Ahora toca convertir las respuestas en decisiones.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