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IGM y ROI</w:t>
      </w:r>
    </w:p>
    <w:p>
      <w:r>
        <w:t xml:space="preserve">Este documento describe una estructura recomendada de libro Excel para procesar los resultados de la encuesta, calcular el </w:t>
      </w:r>
      <w:r>
        <w:rPr>
          <w:b/>
        </w:rPr>
        <w:t>Índice Global de Madurez (IGM)</w:t>
      </w:r>
      <w:r>
        <w:t xml:space="preserve"> y estimar el </w:t>
      </w:r>
      <w:r>
        <w:rPr>
          <w:b/>
        </w:rPr>
        <w:t>ROI</w:t>
      </w:r>
      <w:r>
        <w:t xml:space="preserve"> de las iniciativas de mejora.</w:t>
      </w:r>
    </w:p>
    <w:p>
      <w:r>
        <w:t>La idea es que pueda implementarse sin magia negra: solo con fórmulas estándar de Excel.</w:t>
      </w:r>
    </w:p>
    <w:p>
      <w:pPr>
        <w:pStyle w:val="Heading2"/>
        <w:keepNext/>
        <w:keepLines/>
      </w:pPr>
      <w:r>
        <w:rPr>
          <w:color w:val="0066CC"/>
        </w:rPr>
        <w:t>1. Estructura general del libro</w:t>
      </w:r>
    </w:p>
    <w:p>
      <w:r>
        <w:t>Se recomiendan, como mínimo, las siguientes hojas:</w:t>
      </w:r>
    </w:p>
    <w:p>
      <w:pPr>
        <w:pStyle w:val="ListNumber"/>
        <w:keepLines w:val="1"/>
        <w:keepNext w:val="1"/>
        <w:widowControl w:val="1"/>
      </w:pPr>
      <w:r>
        <w:t>Diccionario</w:t>
      </w:r>
    </w:p>
    <w:p>
      <w:pPr>
        <w:pStyle w:val="ListNumber"/>
        <w:keepLines w:val="1"/>
        <w:keepNext w:val="1"/>
        <w:widowControl w:val="1"/>
      </w:pPr>
      <w:r>
        <w:t>Respuestas</w:t>
      </w:r>
    </w:p>
    <w:p>
      <w:pPr>
        <w:pStyle w:val="ListNumber"/>
        <w:keepLines w:val="1"/>
        <w:keepNext w:val="1"/>
        <w:widowControl w:val="1"/>
      </w:pPr>
      <w:r>
        <w:t>Ponderaciones</w:t>
      </w:r>
    </w:p>
    <w:p>
      <w:pPr>
        <w:pStyle w:val="ListNumber"/>
        <w:keepLines w:val="1"/>
        <w:keepNext w:val="1"/>
        <w:widowControl w:val="1"/>
      </w:pPr>
      <w:r>
        <w:t>IGM_Organizaciones</w:t>
      </w:r>
    </w:p>
    <w:p>
      <w:pPr>
        <w:pStyle w:val="ListNumber"/>
        <w:keepLines w:val="1"/>
        <w:keepNext w:val="1"/>
        <w:widowControl w:val="1"/>
      </w:pPr>
      <w:r>
        <w:t>Resumen_Segmentos</w:t>
      </w:r>
    </w:p>
    <w:p>
      <w:pPr>
        <w:pStyle w:val="ListNumber"/>
        <w:keepLines w:val="1"/>
        <w:widowControl w:val="1"/>
      </w:pPr>
      <w:r>
        <w:t>ROI</w:t>
      </w:r>
    </w:p>
    <w:p>
      <w:pPr>
        <w:pStyle w:val="Heading2"/>
        <w:keepNext/>
        <w:keepLines/>
      </w:pPr>
      <w:r>
        <w:rPr>
          <w:color w:val="0066CC"/>
        </w:rPr>
        <w:t>2. Hoja «Diccionario»</w:t>
      </w:r>
    </w:p>
    <w:p>
      <w:r>
        <w:t>Tabla sugerida (una fila por pregunta de la encuesta):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A: ID_Pregunta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Código único (por ejemplo, GOV-01, VUL-03…).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B: Bloque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Dimensión a la que pertenece (GOV, VUL, PEN, SIEM, AWR, MET, PERF).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C: Texto_Pregunta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Redacción abreviada de la pregunta.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D: Tipo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Tipo de respuesta (opción única, múltiple, escala Likert, numérica).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E: Escala_Min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Valor numérico mínimo (por ejemplo, 1).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F: Escala_Max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Valor numérico máximo (por ejemplo, 4 o 5).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G: Sentido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«Directo» (más es mejor) o «Inverso» (más es peor, para invertir la escala).</w:t>
            </w:r>
          </w:p>
        </w:tc>
      </w:tr>
    </w:tbl>
    <w:p/>
    <w:p>
      <w:r>
        <w:t>Esta hoja sirve como referencia para el resto del libro.</w:t>
      </w:r>
    </w:p>
    <w:p>
      <w:pPr>
        <w:pStyle w:val="Heading2"/>
        <w:keepNext/>
        <w:keepLines/>
      </w:pPr>
      <w:r>
        <w:rPr>
          <w:color w:val="0066CC"/>
        </w:rPr>
        <w:t>3. Hoja «Respuestas»</w:t>
      </w:r>
    </w:p>
    <w:p>
      <w:r>
        <w:t xml:space="preserve">Cada fila representa </w:t>
      </w:r>
      <w:r>
        <w:rPr>
          <w:b/>
        </w:rPr>
        <w:t>una organización</w:t>
      </w:r>
      <w:r>
        <w:t xml:space="preserve"> (o una unidad organizativa, si se segmenta así). Cada columna, una variable.</w:t>
      </w:r>
    </w:p>
    <w:p>
      <w:r>
        <w:t>Columnas recomendadas: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A: ID_Organizacion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Identificador único (código interno, nunca datos sensibles).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B: Nombre_Organizacion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Opcional, o bien código anonimizado.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C: Sector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Código o etiqueta de sector.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D: Tamaño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Tramo de tamaño (por ejemplo, Pequeña, Mediana, Grande).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E: Ambito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Nacional, internacional, etc.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F en adelante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Una columna por cada pregunta (GOV-01, GOV-02, …), con valores numéricos según la codificación definida.</w:t>
            </w:r>
          </w:p>
        </w:tc>
      </w:tr>
    </w:tbl>
    <w:p/>
    <w:p>
      <w:pPr>
        <w:pStyle w:val="Heading3"/>
        <w:keepNext/>
        <w:keepLines/>
      </w:pPr>
      <w:r>
        <w:t>3.1 Codificación de respuestas</w:t>
      </w:r>
    </w:p>
    <w:p>
      <w:pPr>
        <w:pStyle w:val="ListBullet"/>
        <w:keepLines w:val="1"/>
        <w:keepNext w:val="1"/>
        <w:widowControl w:val="1"/>
      </w:pPr>
      <w:r>
        <w:t>Para preguntas tipo Likert (por ejemplo, de «No existe» a «Totalmente implantado»), asigne valores 1–4 o 1–5.</w:t>
      </w:r>
    </w:p>
    <w:p>
      <w:pPr>
        <w:pStyle w:val="ListBullet"/>
        <w:keepLines w:val="1"/>
        <w:keepNext w:val="1"/>
        <w:widowControl w:val="1"/>
      </w:pPr>
      <w:r>
        <w:t>Para preguntas con opciones cualitativas, mapéelas a un valor de madurez (por ejemplo, a=1, b=2, c=3, d=4).</w:t>
      </w:r>
    </w:p>
    <w:p>
      <w:pPr>
        <w:pStyle w:val="ListBullet"/>
        <w:keepLines w:val="1"/>
        <w:widowControl w:val="1"/>
      </w:pPr>
      <w:r>
        <w:t>Documente esta codificación en la hoja Diccionario o en una pestaña adicional si desea más detalle.</w:t>
      </w:r>
    </w:p>
    <w:p>
      <w:pPr>
        <w:pStyle w:val="Heading2"/>
        <w:keepNext/>
        <w:keepLines/>
      </w:pPr>
      <w:r>
        <w:rPr>
          <w:color w:val="0066CC"/>
        </w:rPr>
        <w:t>4. Hoja «Ponderaciones»</w:t>
      </w:r>
    </w:p>
    <w:p>
      <w:r>
        <w:t>Esta hoja define el peso relativo de cada pregunta en el cálculo del IGM y de los subíndices.</w:t>
      </w:r>
    </w:p>
    <w:p>
      <w:r>
        <w:t>Tabla sugerida: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A: ID_Pregunta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Código idéntico al de Diccionario.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B: Bloque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GOV, VUL, PEN, SIEM, AWR, MET, PERF.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C: Peso_Bloque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Peso global del bloque en el IGM (por ejemplo, GOV=0,15; VUL=0,25…).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D: Peso_Pregunta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Peso relativo de la pregunta dentro de su bloque (puede normalizarse para que la suma por bloque sea 1).</w:t>
            </w:r>
          </w:p>
        </w:tc>
      </w:tr>
    </w:tbl>
    <w:p/>
    <w:p>
      <w:pPr>
        <w:pStyle w:val="Heading3"/>
        <w:keepNext/>
        <w:keepLines/>
      </w:pPr>
      <w:r>
        <w:t>4.1 Sugerencia de pesos por bloque</w:t>
      </w:r>
    </w:p>
    <w:p>
      <w:r>
        <w:t>A modo orientativo (ajustable según criterio):</w:t>
      </w:r>
    </w:p>
    <w:p>
      <w:pPr>
        <w:pStyle w:val="ListBullet"/>
        <w:keepLines w:val="1"/>
        <w:keepNext w:val="1"/>
        <w:widowControl w:val="1"/>
      </w:pPr>
      <w:r>
        <w:t>Gobierno y estrategia (GOV): 15 %</w:t>
      </w:r>
    </w:p>
    <w:p>
      <w:pPr>
        <w:pStyle w:val="ListBullet"/>
        <w:keepLines w:val="1"/>
        <w:keepNext w:val="1"/>
        <w:widowControl w:val="1"/>
      </w:pPr>
      <w:r>
        <w:t>Gestión operativa de vulnerabilidades y KEV (VUL): 25 %</w:t>
      </w:r>
    </w:p>
    <w:p>
      <w:pPr>
        <w:pStyle w:val="ListBullet"/>
        <w:keepLines w:val="1"/>
        <w:keepNext w:val="1"/>
        <w:widowControl w:val="1"/>
      </w:pPr>
      <w:r>
        <w:t>Pruebas de penetración (PEN): 15 %</w:t>
      </w:r>
    </w:p>
    <w:p>
      <w:pPr>
        <w:pStyle w:val="ListBullet"/>
        <w:keepLines w:val="1"/>
        <w:keepNext w:val="1"/>
        <w:widowControl w:val="1"/>
      </w:pPr>
      <w:r>
        <w:t>SIEM y monitorización (SIEM): 20 %</w:t>
      </w:r>
    </w:p>
    <w:p>
      <w:pPr>
        <w:pStyle w:val="ListBullet"/>
        <w:keepLines w:val="1"/>
        <w:keepNext w:val="1"/>
        <w:widowControl w:val="1"/>
      </w:pPr>
      <w:r>
        <w:t>Capacitación y cultura (AWR): 15 %</w:t>
      </w:r>
    </w:p>
    <w:p>
      <w:pPr>
        <w:pStyle w:val="ListBullet"/>
        <w:keepLines w:val="1"/>
        <w:widowControl w:val="1"/>
      </w:pPr>
      <w:r>
        <w:t>Métricas y ROI (MET): 10 %</w:t>
      </w:r>
    </w:p>
    <w:p>
      <w:r>
        <w:t>La suma debe ser 100 %.</w:t>
      </w:r>
    </w:p>
    <w:p>
      <w:pPr>
        <w:pStyle w:val="Heading2"/>
        <w:keepNext/>
        <w:keepLines/>
      </w:pPr>
      <w:r>
        <w:rPr>
          <w:color w:val="0066CC"/>
        </w:rPr>
        <w:t>5. Hoja «IGM_Organizaciones»</w:t>
      </w:r>
    </w:p>
    <w:p>
      <w:r>
        <w:t>En esta hoja se calculan los índices de madurez por organización.</w:t>
      </w:r>
    </w:p>
    <w:p>
      <w:r>
        <w:t>Columnas sugeridas: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A: ID_Organizacion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Referencia a Respuestas!A:A.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B: Sector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Referencia a Respuestas!C:C.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C: Tamaño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Referencia a Respuestas!D:D.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D: Ambito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Referencia a Respuestas!E:E.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E: IGM_GOV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Índice de madurez del bloque Gobierno.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F: IGM_VUL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Índice de madurez del bloque Vulnerabilidades/KEV.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G: IGM_PEN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Índice de madurez del bloque Pentesting.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H: IGM_SIEM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Índice de madurez del bloque SIEM.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I: IGM_AWR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Índice de madurez del bloque Capacitación.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J: IGM_MET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Índice de madurez del bloque Métricas/ROI.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K: IGM_Global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Índice global ponderado.</w:t>
            </w:r>
          </w:p>
        </w:tc>
      </w:tr>
    </w:tbl>
    <w:p/>
    <w:p>
      <w:pPr>
        <w:pStyle w:val="Heading3"/>
        <w:keepNext/>
        <w:keepLines/>
      </w:pPr>
      <w:r>
        <w:t>5.1 Cálculo de subíndices por bloque</w:t>
      </w:r>
    </w:p>
    <w:p>
      <w:r>
        <w:t xml:space="preserve">Supongamos que en </w:t>
      </w:r>
      <w:r>
        <w:rPr>
          <w:rFonts w:ascii="Courier New" w:hAnsi="Courier New"/>
          <w:sz w:val="18"/>
        </w:rPr>
        <w:t>Respuestas</w:t>
      </w:r>
      <w:r>
        <w:t xml:space="preserve"> las columnas GOV-01 a GOV-06 están en las columnas G:L.</w:t>
      </w:r>
    </w:p>
    <w:p>
      <w:r>
        <w:t xml:space="preserve">Para una organización concreta (fila 2 en </w:t>
      </w:r>
      <w:r>
        <w:rPr>
          <w:rFonts w:ascii="Courier New" w:hAnsi="Courier New"/>
          <w:sz w:val="18"/>
        </w:rPr>
        <w:t>Respuestas</w:t>
      </w:r>
      <w:r>
        <w:t xml:space="preserve"> y fila 2 en </w:t>
      </w:r>
      <w:r>
        <w:rPr>
          <w:rFonts w:ascii="Courier New" w:hAnsi="Courier New"/>
          <w:sz w:val="18"/>
        </w:rPr>
        <w:t>IGM_Organizaciones</w:t>
      </w:r>
      <w:r>
        <w:t>):</w:t>
      </w:r>
    </w:p>
    <w:p>
      <w:pPr>
        <w:pStyle w:val="ListBullet"/>
        <w:keepLines w:val="1"/>
        <w:keepNext w:val="1"/>
        <w:widowControl w:val="1"/>
      </w:pPr>
      <w:r>
        <w:t>Cree en Ponderaciones un rango con las preguntas GOV y sus Peso_Pregunta.</w:t>
      </w:r>
    </w:p>
    <w:p>
      <w:pPr>
        <w:pStyle w:val="ListBullet"/>
        <w:keepLines w:val="1"/>
        <w:widowControl w:val="1"/>
      </w:pPr>
      <w:r>
        <w:t>Use una fórmula tipo SUMAPRODUCTO: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=SUMAPRODUCTO(</w:t>
        <w:br/>
        <w:t xml:space="preserve">  (Ponderaciones!$A$2:$A$7="GOV-01")*(Respuestas!G2),</w:t>
        <w:br/>
        <w:t xml:space="preserve">  Ponderaciones!$D$2:$D$7</w:t>
        <w:br/>
        <w:t>)</w:t>
        <w:br/>
      </w:r>
    </w:p>
    <w:p>
      <w:r>
        <w:t xml:space="preserve">En la práctica, lo más cómodo es definir </w:t>
      </w:r>
      <w:r>
        <w:rPr>
          <w:b/>
        </w:rPr>
        <w:t>rangos nombrados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>Resp_GOV (todas las celdas de GOV-01..GOV-0X de la organización).</w:t>
      </w:r>
    </w:p>
    <w:p>
      <w:pPr>
        <w:pStyle w:val="ListBullet"/>
        <w:keepLines w:val="1"/>
        <w:widowControl w:val="1"/>
      </w:pPr>
      <w:r>
        <w:t>Peso_GOV (pesos de esas preguntas).</w:t>
      </w:r>
    </w:p>
    <w:p>
      <w:r>
        <w:t>Ejemplo de fórmula genérica por bloque: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=SUMAPRODUCTO(Resp_GOV; Peso_GOV) / SUMA(Peso_GOV)</w:t>
        <w:br/>
      </w:r>
    </w:p>
    <w:p>
      <w:r>
        <w:t>Repita el esquema para VUL, PEN, SIEM, AWR y MET.</w:t>
      </w:r>
    </w:p>
    <w:p>
      <w:pPr>
        <w:pStyle w:val="Heading3"/>
        <w:keepNext/>
        <w:keepLines/>
      </w:pPr>
      <w:r>
        <w:t>5.2 Cálculo del IGM global</w:t>
      </w:r>
    </w:p>
    <w:p>
      <w:r>
        <w:t xml:space="preserve">Si disponemos de los subíndices y de los </w:t>
      </w:r>
      <w:r>
        <w:rPr>
          <w:rFonts w:ascii="Courier New" w:hAnsi="Courier New"/>
          <w:sz w:val="18"/>
        </w:rPr>
        <w:t>Peso_Bloque</w:t>
      </w:r>
      <w:r>
        <w:t xml:space="preserve"> en la hoja </w:t>
      </w:r>
      <w:r>
        <w:rPr>
          <w:rFonts w:ascii="Courier New" w:hAnsi="Courier New"/>
          <w:sz w:val="18"/>
        </w:rPr>
        <w:t>Ponderaciones</w:t>
      </w:r>
      <w:r>
        <w:t xml:space="preserve">, se puede usar otra </w:t>
      </w:r>
      <w:r>
        <w:rPr>
          <w:rFonts w:ascii="Courier New" w:hAnsi="Courier New"/>
          <w:sz w:val="18"/>
        </w:rPr>
        <w:t>SUMAPRODUCTO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=SUMAPRODUCTO(</w:t>
        <w:br/>
        <w:t xml:space="preserve">  {IGM_GOV; IGM_VUL; IGM_PEN; IGM_SIEM; IGM_AWR; IGM_MET};</w:t>
        <w:br/>
        <w:t xml:space="preserve">  {Peso_GOV; Peso_VUL; Peso_PEN; Peso_SIEM; Peso_AWR; Peso_MET}</w:t>
        <w:br/>
        <w:t>)</w:t>
        <w:br/>
      </w:r>
    </w:p>
    <w:p>
      <w:r>
        <w:t>O, si se prefiere, construir una tabla auxiliar con bloques y pesos y referirse a ella.</w:t>
      </w:r>
    </w:p>
    <w:p>
      <w:pPr>
        <w:pStyle w:val="Heading2"/>
        <w:keepNext/>
        <w:keepLines/>
      </w:pPr>
      <w:r>
        <w:rPr>
          <w:color w:val="0066CC"/>
        </w:rPr>
        <w:t>6. Hoja «Resumen_Segmentos»</w:t>
      </w:r>
    </w:p>
    <w:p>
      <w:r>
        <w:t>En esta hoja se generan estadísticas agregadas por sector, tamaño, ámbito, etc.</w:t>
      </w:r>
    </w:p>
    <w:p>
      <w:r>
        <w:t>Elementos recomendados:</w:t>
      </w:r>
    </w:p>
    <w:p>
      <w:pPr>
        <w:pStyle w:val="ListBullet"/>
        <w:keepLines w:val="1"/>
        <w:keepNext w:val="1"/>
        <w:widowControl w:val="1"/>
      </w:pPr>
      <w:r>
        <w:t>Tabla dinámica con:</w:t>
      </w:r>
    </w:p>
    <w:p>
      <w:pPr>
        <w:pStyle w:val="ListBullet"/>
        <w:keepLines w:val="1"/>
        <w:keepNext w:val="1"/>
        <w:widowControl w:val="1"/>
      </w:pPr>
      <w:r>
        <w:t>Filas: Sector, Tamaño, Ambito.</w:t>
      </w:r>
    </w:p>
    <w:p>
      <w:pPr>
        <w:pStyle w:val="ListBullet"/>
        <w:keepLines w:val="1"/>
        <w:keepNext w:val="1"/>
        <w:widowControl w:val="1"/>
      </w:pPr>
      <w:r>
        <w:t>Valores: media de IGM_Global, media de IGM_VUL, etc.</w:t>
      </w:r>
    </w:p>
    <w:p>
      <w:pPr>
        <w:pStyle w:val="ListBullet"/>
        <w:keepLines w:val="1"/>
        <w:keepNext w:val="1"/>
        <w:widowControl w:val="1"/>
      </w:pPr>
      <w:r>
        <w:t>Gráficos derivados:</w:t>
      </w:r>
    </w:p>
    <w:p>
      <w:pPr>
        <w:pStyle w:val="ListBullet"/>
        <w:keepLines w:val="1"/>
        <w:keepNext w:val="1"/>
        <w:widowControl w:val="1"/>
      </w:pPr>
      <w:r>
        <w:t>Barras comparando sectores.</w:t>
      </w:r>
    </w:p>
    <w:p>
      <w:pPr>
        <w:pStyle w:val="ListBullet"/>
        <w:keepLines w:val="1"/>
        <w:widowControl w:val="1"/>
      </w:pPr>
      <w:r>
        <w:t>Gráficos de radar comparando subíndices por segmento.</w:t>
      </w:r>
    </w:p>
    <w:p>
      <w:r>
        <w:t>Esta hoja es la fuente natural de gráficos para el reporte ejecutivo.</w:t>
      </w:r>
    </w:p>
    <w:p>
      <w:pPr>
        <w:pStyle w:val="Heading2"/>
        <w:keepNext/>
        <w:keepLines/>
      </w:pPr>
      <w:r>
        <w:rPr>
          <w:color w:val="0066CC"/>
        </w:rPr>
        <w:t>7. Hoja «ROI»</w:t>
      </w:r>
    </w:p>
    <w:p>
      <w:r>
        <w:t xml:space="preserve">El objetivo de esta hoja es estimar el </w:t>
      </w:r>
      <w:r>
        <w:rPr>
          <w:b/>
        </w:rPr>
        <w:t>retorno de inversión</w:t>
      </w:r>
      <w:r>
        <w:t xml:space="preserve"> de iniciativas de mejora derivadas de la encuesta.</w:t>
      </w:r>
    </w:p>
    <w:p>
      <w:pPr>
        <w:pStyle w:val="Heading3"/>
        <w:keepNext/>
        <w:keepLines/>
      </w:pPr>
      <w:r>
        <w:t>7.1 Estructura sugerida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A: ID_Iniciativa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Código de iniciativa (por ejemplo, ROI-01, ROI-02…).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B: Descripcion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Descripción breve de la iniciativa (por ejemplo, «Automatizar cruce KEV–inventario»).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C: Dimension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Bloque principal al que contribuye (GOV, VUL, SIEM, etc.).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D: Coste_Anual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Coste estimado anual de la iniciativa (en euros).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E: Perdida_Esperada_Actual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Pérdida económica esperada anual actual (antes de la iniciativa).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F: Perdida_Esperada_Prevista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Pérdida esperada anual tras la iniciativa.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G: Ahorro_Anual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Diferencia (Perdida_Esperada_Actual – Perdida_Esperada_Prevista).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H: ROI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Métrica de retorno.</w:t>
            </w:r>
          </w:p>
        </w:tc>
      </w:tr>
    </w:tbl>
    <w:p/>
    <w:p>
      <w:pPr>
        <w:pStyle w:val="Heading3"/>
        <w:keepNext/>
        <w:keepLines/>
      </w:pPr>
      <w:r>
        <w:t>7.2 Fórmulas clave</w:t>
      </w:r>
    </w:p>
    <w:p>
      <w:r>
        <w:t>En G2 (primer registro de iniciativas):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=E2 - F2</w:t>
        <w:br/>
      </w:r>
    </w:p>
    <w:p>
      <w:r>
        <w:t>En H2 (ROI clásico, expresado como fracción):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=(G2 - D2) / D2</w:t>
        <w:br/>
      </w:r>
    </w:p>
    <w:p>
      <w:r>
        <w:t>Interpretación:</w:t>
      </w:r>
    </w:p>
    <w:p>
      <w:pPr>
        <w:pStyle w:val="ListBullet"/>
        <w:keepLines w:val="1"/>
        <w:keepNext w:val="1"/>
        <w:widowControl w:val="1"/>
      </w:pPr>
      <w:r>
        <w:t>Valor positivo: la iniciativa genera ahorro neto frente a su coste.</w:t>
      </w:r>
    </w:p>
    <w:p>
      <w:pPr>
        <w:pStyle w:val="ListBullet"/>
        <w:keepLines w:val="1"/>
        <w:widowControl w:val="1"/>
      </w:pPr>
      <w:r>
        <w:t>Valor negativo: la iniciativa, en las condiciones supuestas, no se justifica económicamente (aunque puede tener otros beneficios cualitativos o regulatorios).</w:t>
      </w:r>
    </w:p>
    <w:p>
      <w:pPr>
        <w:pStyle w:val="Heading3"/>
        <w:keepNext/>
        <w:keepLines/>
      </w:pPr>
      <w:r>
        <w:t>7.3 Uso prudente del ROI</w:t>
      </w:r>
    </w:p>
    <w:p>
      <w:pPr>
        <w:pStyle w:val="ListBullet"/>
        <w:keepLines w:val="1"/>
        <w:keepNext w:val="1"/>
        <w:widowControl w:val="1"/>
      </w:pPr>
      <w:r>
        <w:t>No se incluyen valores numéricos predefinidos: deben estimarse en función del contexto de cada organización.</w:t>
      </w:r>
    </w:p>
    <w:p>
      <w:pPr>
        <w:pStyle w:val="ListBullet"/>
        <w:keepLines w:val="1"/>
        <w:widowControl w:val="1"/>
      </w:pPr>
      <w:r>
        <w:t>Es útil apoyarse en análisis de riesgo (por ejemplo, modelos tipo ALE) para cuantificar las pérdidas esperadas asociadas a incidentes aprovechando vulnerabilidades KEV.</w:t>
      </w:r>
    </w:p>
    <w:p>
      <w:pPr>
        <w:pStyle w:val="Heading2"/>
        <w:keepNext/>
        <w:keepLines/>
      </w:pPr>
      <w:r>
        <w:rPr>
          <w:color w:val="0066CC"/>
        </w:rPr>
        <w:t>8. Buenas prácticas de implementación</w:t>
      </w:r>
    </w:p>
    <w:p>
      <w:pPr>
        <w:pStyle w:val="ListBullet"/>
        <w:keepLines w:val="1"/>
        <w:keepNext w:val="1"/>
        <w:widowControl w:val="1"/>
      </w:pPr>
      <w:r>
        <w:t>Documentar siempre la versión de la encuesta y del modelo de ponderaciones usada en el libro.</w:t>
      </w:r>
    </w:p>
    <w:p>
      <w:pPr>
        <w:pStyle w:val="ListBullet"/>
        <w:keepLines w:val="1"/>
        <w:keepNext w:val="1"/>
        <w:widowControl w:val="1"/>
      </w:pPr>
      <w:r>
        <w:t>Proteger con contraseña las hojas que contengan fórmulas delicadas, para evitar «mejoras» accidentales.</w:t>
      </w:r>
    </w:p>
    <w:p>
      <w:pPr>
        <w:pStyle w:val="ListBullet"/>
        <w:keepLines w:val="1"/>
        <w:keepNext w:val="1"/>
        <w:widowControl w:val="1"/>
      </w:pPr>
      <w:r>
        <w:t>Mantener una copia de solo lectura como referencia maestra.</w:t>
      </w:r>
    </w:p>
    <w:p>
      <w:pPr>
        <w:pStyle w:val="ListBullet"/>
        <w:keepLines w:val="1"/>
        <w:widowControl w:val="1"/>
      </w:pPr>
      <w:r>
        <w:t>Utilizar nombres de rango para facilitar el mantenimiento (menos referencias A1 que descifrar).</w:t>
      </w:r>
    </w:p>
    <w:p>
      <w:r>
        <w:t>Con esta plantilla conceptual, el libro Excel se convierte en un aliado y no en un jefe caprichoso: las matemáticas quedan claras, las ponderaciones son explícitas y los resultados pueden explicarse sin necesidad de invocar a fuerzas sobrenaturales de la hoja de cálculo.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