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del Kit de Encuesta KEV + GQM + PRAGMATIC</w:t>
      </w:r>
    </w:p>
    <w:p>
      <w:pPr>
        <w:pStyle w:val="Heading2"/>
        <w:keepNext/>
        <w:keepLines/>
      </w:pPr>
      <w:r>
        <w:rPr>
          <w:color w:val="0066CC"/>
        </w:rPr>
        <w:t>1. ¿Qué es este kit?</w:t>
      </w:r>
    </w:p>
    <w:p>
      <w:r>
        <w:t>Este kit reúne los elementos necesarios para diagnosticar la madurez en:</w:t>
      </w:r>
    </w:p>
    <w:p>
      <w:pPr>
        <w:pStyle w:val="ListBullet"/>
        <w:keepLines w:val="1"/>
        <w:keepNext w:val="1"/>
        <w:widowControl w:val="1"/>
      </w:pPr>
      <w:r>
        <w:t>Gestión de vulnerabilidades con foco en Known Exploited Vulnerabilities (KEV).</w:t>
      </w:r>
    </w:p>
    <w:p>
      <w:pPr>
        <w:pStyle w:val="ListBullet"/>
        <w:keepLines w:val="1"/>
        <w:keepNext w:val="1"/>
        <w:widowControl w:val="1"/>
      </w:pPr>
      <w:r>
        <w:t>Pruebas de penetración y ejercicios avanzados.</w:t>
      </w:r>
    </w:p>
    <w:p>
      <w:pPr>
        <w:pStyle w:val="ListBullet"/>
        <w:keepLines w:val="1"/>
        <w:keepNext w:val="1"/>
        <w:widowControl w:val="1"/>
      </w:pPr>
      <w:r>
        <w:t>Monitorización y gestión de eventos de seguridad (SIEM/SOC).</w:t>
      </w:r>
    </w:p>
    <w:p>
      <w:pPr>
        <w:pStyle w:val="ListBullet"/>
        <w:keepLines w:val="1"/>
        <w:widowControl w:val="1"/>
      </w:pPr>
      <w:r>
        <w:t>Capacitación y cultura de seguridad.</w:t>
      </w:r>
    </w:p>
    <w:p>
      <w:r>
        <w:t>Todo ello apoyado en:</w:t>
      </w:r>
    </w:p>
    <w:p>
      <w:pPr>
        <w:pStyle w:val="ListBullet"/>
        <w:keepLines w:val="1"/>
        <w:keepNext w:val="1"/>
        <w:widowControl w:val="1"/>
      </w:pPr>
      <w:r>
        <w:t>Metodología GQM (Goal–Question–Metric) para garantizar trazabilidad desde objetivos nacionales hasta métricas.</w:t>
      </w:r>
    </w:p>
    <w:p>
      <w:pPr>
        <w:pStyle w:val="ListBullet"/>
        <w:keepLines w:val="1"/>
        <w:widowControl w:val="1"/>
      </w:pPr>
      <w:r>
        <w:t>Evaluación PRAGMATIC de las métricas para asegurar que lo que se mide es útil, accionable y sostenible.</w:t>
      </w:r>
    </w:p>
    <w:p>
      <w:pPr>
        <w:pStyle w:val="Heading2"/>
        <w:keepNext/>
        <w:keepLines/>
      </w:pPr>
      <w:r>
        <w:rPr>
          <w:color w:val="0066CC"/>
        </w:rPr>
        <w:t>2. Contenidos del kit</w:t>
      </w:r>
    </w:p>
    <w:p>
      <w:r>
        <w:t>El kit (en formato Markdown) incluye:</w:t>
      </w:r>
    </w:p>
    <w:p>
      <w:pPr>
        <w:pStyle w:val="ListNumber"/>
        <w:keepLines w:val="1"/>
        <w:keepNext w:val="1"/>
        <w:widowControl w:val="1"/>
      </w:pPr>
      <w:r>
        <w:t>Modelo de encuesta integral (encuesta KEV–vulnerabilidades–pentesting–SIEM–capacitación).</w:t>
      </w:r>
    </w:p>
    <w:p>
      <w:pPr>
        <w:pStyle w:val="ListNumber"/>
        <w:keepLines w:val="1"/>
        <w:keepNext w:val="1"/>
        <w:widowControl w:val="1"/>
      </w:pPr>
      <w:r>
        <w:t>Marco integrativo GQM+PRAGMATIC (marco-gqm-pragmatic.md).</w:t>
      </w:r>
    </w:p>
    <w:p>
      <w:pPr>
        <w:pStyle w:val="ListNumber"/>
        <w:keepLines w:val="1"/>
        <w:keepNext w:val="1"/>
        <w:widowControl w:val="1"/>
      </w:pPr>
      <w:r>
        <w:t>Matriz de Evaluación PRAGMATIC Completa (matriz-pragmatic.md).</w:t>
      </w:r>
    </w:p>
    <w:p>
      <w:pPr>
        <w:pStyle w:val="ListNumber"/>
        <w:keepLines w:val="1"/>
        <w:keepNext w:val="1"/>
        <w:widowControl w:val="1"/>
      </w:pPr>
      <w:r>
        <w:t>Mapeo normativo (mapeo-normas-kev.md).</w:t>
      </w:r>
    </w:p>
    <w:p>
      <w:pPr>
        <w:pStyle w:val="ListNumber"/>
        <w:keepLines w:val="1"/>
        <w:keepNext w:val="1"/>
        <w:widowControl w:val="1"/>
      </w:pPr>
      <w:r>
        <w:t>Plantilla de Excel para IGM y ROI (plantilla-igm-roi-kev.md).</w:t>
      </w:r>
    </w:p>
    <w:p>
      <w:pPr>
        <w:pStyle w:val="ListNumber"/>
        <w:keepLines w:val="1"/>
        <w:keepNext w:val="1"/>
        <w:widowControl w:val="1"/>
      </w:pPr>
      <w:r>
        <w:t>Plantilla de Reporte Ejecutivo (ppt-reporte-kev.md).</w:t>
      </w:r>
    </w:p>
    <w:p>
      <w:pPr>
        <w:pStyle w:val="ListNumber"/>
        <w:keepLines w:val="1"/>
        <w:widowControl w:val="1"/>
      </w:pPr>
      <w:r>
        <w:t>Este README como guía de uso.</w:t>
      </w:r>
    </w:p>
    <w:p>
      <w:pPr>
        <w:pStyle w:val="Heading2"/>
        <w:keepNext/>
        <w:keepLines/>
      </w:pPr>
      <w:r>
        <w:rPr>
          <w:color w:val="0066CC"/>
        </w:rPr>
        <w:t>3. Cómo usar el kit (visión rápida)</w:t>
      </w:r>
    </w:p>
    <w:p>
      <w:pPr>
        <w:pStyle w:val="ListNumber"/>
        <w:keepLines w:val="1"/>
        <w:keepNext w:val="1"/>
        <w:widowControl w:val="1"/>
      </w:pPr>
      <w:r>
        <w:t xml:space="preserve">Definir el alcance del diagnóstico </w:t>
      </w:r>
    </w:p>
    <w:p>
      <w:pPr>
        <w:pStyle w:val="ListNumber"/>
        <w:keepLines w:val="1"/>
        <w:keepNext w:val="1"/>
        <w:widowControl w:val="1"/>
      </w:pPr>
      <w:r>
        <w:br/>
        <w:t>¿Organización única, grupo de entidades, sector, ámbito nacional?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Adaptar el cuestionario </w:t>
        <w:br/>
      </w:r>
    </w:p>
    <w:p>
      <w:pPr>
        <w:pStyle w:val="ListNumber"/>
        <w:keepLines w:val="1"/>
        <w:keepNext w:val="1"/>
        <w:widowControl w:val="1"/>
      </w:pPr>
      <w:r>
        <w:br/>
        <w:t>Revisar el modelo y ajustar redacción si es necesario, manteniendo los ID de preguntas.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Implementar la encuesta </w:t>
        <w:br/>
      </w:r>
    </w:p>
    <w:p>
      <w:pPr>
        <w:pStyle w:val="ListNumber"/>
        <w:keepLines w:val="1"/>
        <w:keepNext w:val="1"/>
        <w:widowControl w:val="1"/>
      </w:pPr>
      <w:r>
        <w:t>Cargar las preguntas en la herramienta de encuestas elegida.</w:t>
      </w:r>
    </w:p>
    <w:p>
      <w:pPr>
        <w:pStyle w:val="ListNumber"/>
        <w:keepLines w:val="1"/>
        <w:keepNext w:val="1"/>
        <w:widowControl w:val="1"/>
      </w:pPr>
      <w:r>
        <w:br/>
        <w:t>Definir quién responde (CISO, TI, SOC, RRHH formación, etc.).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Montar el Excel para el IGM y el ROI </w:t>
        <w:br/>
      </w:r>
    </w:p>
    <w:p>
      <w:pPr>
        <w:pStyle w:val="ListNumber"/>
        <w:keepLines w:val="1"/>
        <w:keepNext w:val="1"/>
        <w:widowControl w:val="1"/>
      </w:pPr>
      <w:r>
        <w:t>Seguir la especificación de plantilla-igm-roi-kev.md.</w:t>
      </w:r>
    </w:p>
    <w:p>
      <w:pPr>
        <w:pStyle w:val="ListNumber"/>
        <w:keepLines w:val="1"/>
        <w:keepNext w:val="1"/>
        <w:widowControl w:val="1"/>
      </w:pPr>
      <w:r>
        <w:br/>
        <w:t>Configurar hojas, rangos y fórmulas.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Volcar y procesar los resultados </w:t>
        <w:br/>
      </w:r>
    </w:p>
    <w:p>
      <w:pPr>
        <w:pStyle w:val="ListNumber"/>
        <w:keepLines w:val="1"/>
        <w:keepNext w:val="1"/>
        <w:widowControl w:val="1"/>
      </w:pPr>
      <w:r>
        <w:t>Importar las respuestas a la hoja Respuestas.</w:t>
      </w:r>
    </w:p>
    <w:p>
      <w:pPr>
        <w:pStyle w:val="ListNumber"/>
        <w:keepLines w:val="1"/>
        <w:keepNext w:val="1"/>
        <w:widowControl w:val="1"/>
      </w:pPr>
      <w:r>
        <w:t>Calcular subíndices de madurez e IGM.</w:t>
      </w:r>
    </w:p>
    <w:p>
      <w:pPr>
        <w:pStyle w:val="ListNumber"/>
        <w:keepLines w:val="1"/>
        <w:keepNext w:val="1"/>
        <w:widowControl w:val="1"/>
      </w:pPr>
      <w:r>
        <w:br/>
        <w:t>Evaluar iniciativas y ROI en la hoja ROI.</w:t>
        <w:br/>
      </w:r>
    </w:p>
    <w:p>
      <w:pPr>
        <w:pStyle w:val="ListNumber"/>
        <w:keepLines w:val="1"/>
        <w:keepNext w:val="1"/>
        <w:widowControl w:val="1"/>
      </w:pPr>
      <w:r>
        <w:br/>
        <w:t xml:space="preserve">Preparar el reporte ejecutivo </w:t>
        <w:br/>
      </w:r>
    </w:p>
    <w:p>
      <w:pPr>
        <w:pStyle w:val="ListNumber"/>
        <w:keepLines w:val="1"/>
        <w:keepNext w:val="1"/>
        <w:widowControl w:val="1"/>
      </w:pPr>
      <w:r>
        <w:t>Seguir la estructura de ppt-reporte-kev.md.</w:t>
      </w:r>
    </w:p>
    <w:p>
      <w:pPr>
        <w:pStyle w:val="ListNumber"/>
        <w:keepLines w:val="1"/>
        <w:widowControl w:val="1"/>
      </w:pPr>
      <w:r>
        <w:t>Seleccionar los gráficos e indicadores más relevantes para la audiencia.</w:t>
      </w:r>
    </w:p>
    <w:p>
      <w:r>
        <w:t>¿Organización única, grupo de entidades, sector, ámbito nacional?</w:t>
      </w:r>
    </w:p>
    <w:p>
      <w:r>
        <w:rPr>
          <w:b/>
        </w:rPr>
        <w:t>Adaptar el cuestionario</w:t>
      </w:r>
      <w:r>
        <w:t xml:space="preserve"> </w:t>
      </w:r>
    </w:p>
    <w:p>
      <w:r>
        <w:t>Revisar el modelo y ajustar redacción si es necesario, manteniendo los ID de preguntas.</w:t>
      </w:r>
    </w:p>
    <w:p>
      <w:r>
        <w:rPr>
          <w:b/>
        </w:rPr>
        <w:t>Implementar la encuesta</w:t>
      </w:r>
      <w:r>
        <w:t xml:space="preserve"> </w:t>
      </w:r>
    </w:p>
    <w:p>
      <w:r>
        <w:t>Definir quién responde (CISO, TI, SOC, RRHH formación, etc.).</w:t>
      </w:r>
    </w:p>
    <w:p>
      <w:r>
        <w:rPr>
          <w:b/>
        </w:rPr>
        <w:t>Montar el Excel para el IGM y el ROI</w:t>
      </w:r>
      <w:r>
        <w:t xml:space="preserve"> </w:t>
      </w:r>
    </w:p>
    <w:p>
      <w:r>
        <w:t>Configurar hojas, rangos y fórmulas.</w:t>
      </w:r>
    </w:p>
    <w:p>
      <w:r>
        <w:rPr>
          <w:b/>
        </w:rPr>
        <w:t>Volcar y procesar los resultados</w:t>
      </w:r>
      <w:r>
        <w:t xml:space="preserve"> </w:t>
      </w:r>
    </w:p>
    <w:p>
      <w:r>
        <w:t xml:space="preserve">Evaluar iniciativas y ROI en la hoja </w:t>
      </w:r>
      <w:r>
        <w:rPr>
          <w:rFonts w:ascii="Courier New" w:hAnsi="Courier New"/>
          <w:sz w:val="18"/>
        </w:rPr>
        <w:t>ROI</w:t>
      </w:r>
      <w:r>
        <w:t>.</w:t>
      </w:r>
    </w:p>
    <w:p>
      <w:r>
        <w:rPr>
          <w:b/>
        </w:rPr>
        <w:t>Preparar el reporte ejecutivo</w:t>
      </w:r>
      <w:r>
        <w:t xml:space="preserve"> </w:t>
      </w:r>
    </w:p>
    <w:p>
      <w:pPr>
        <w:pStyle w:val="Heading2"/>
        <w:keepNext/>
        <w:keepLines/>
      </w:pPr>
      <w:r>
        <w:rPr>
          <w:color w:val="0066CC"/>
        </w:rPr>
        <w:t>4. GQM + PRAGMATIC en dos frases</w:t>
      </w:r>
    </w:p>
    <w:p>
      <w:pPr>
        <w:pStyle w:val="ListBullet"/>
        <w:keepLines w:val="1"/>
        <w:keepNext w:val="1"/>
        <w:widowControl w:val="1"/>
      </w:pPr>
      <w:r>
        <w:t>GQM: empieza siempre por el objetivo (Goal), formula las preguntas clave (Questions) y solo entonces define qué métricas (Metrics) tienen sentido.</w:t>
      </w:r>
    </w:p>
    <w:p>
      <w:pPr>
        <w:pStyle w:val="ListBullet"/>
        <w:keepLines w:val="1"/>
        <w:widowControl w:val="1"/>
      </w:pPr>
      <w:r>
        <w:t>PRAGMATIC: revisa cada métrica con nueve filtros (Predictivo, Relevante, Accionable, Genuino, Significativo, Preciso, Oportuno, Independiente y Rentable) para no caer en la trampa de medir por costumbre.</w:t>
      </w:r>
    </w:p>
    <w:p>
      <w:pPr>
        <w:pStyle w:val="Heading2"/>
        <w:keepNext/>
        <w:keepLines/>
      </w:pPr>
      <w:r>
        <w:rPr>
          <w:color w:val="0066CC"/>
        </w:rPr>
        <w:t>5. Buenas prácticas de despliegue</w:t>
      </w:r>
    </w:p>
    <w:p>
      <w:pPr>
        <w:pStyle w:val="ListBullet"/>
        <w:keepLines w:val="1"/>
        <w:keepNext w:val="1"/>
        <w:widowControl w:val="1"/>
      </w:pPr>
      <w:r>
        <w:t>Transparencia: explicar a los participantes el propósito del ejercicio: mejora, no «caza de brujas».</w:t>
      </w:r>
    </w:p>
    <w:p>
      <w:pPr>
        <w:pStyle w:val="ListBullet"/>
        <w:keepLines w:val="1"/>
        <w:keepNext w:val="1"/>
        <w:widowControl w:val="1"/>
      </w:pPr>
      <w:r>
        <w:t>Confidencialidad: proteger adecuadamente los datos de cada organización.</w:t>
      </w:r>
    </w:p>
    <w:p>
      <w:pPr>
        <w:pStyle w:val="ListBullet"/>
        <w:keepLines w:val="1"/>
        <w:keepNext w:val="1"/>
        <w:widowControl w:val="1"/>
      </w:pPr>
      <w:r>
        <w:t>Iteración: empezar con una primera oleada, aprender y ajustar para la siguiente.</w:t>
      </w:r>
    </w:p>
    <w:p>
      <w:pPr>
        <w:pStyle w:val="ListBullet"/>
        <w:keepLines w:val="1"/>
        <w:widowControl w:val="1"/>
      </w:pPr>
      <w:r>
        <w:t>Trazabilidad: mantener alineados cuestionario, Excel, GQM y PRAGMATIC para que las métricas tengan siempre apellidos y propósito.</w:t>
      </w:r>
    </w:p>
    <w:p>
      <w:pPr>
        <w:pStyle w:val="Heading2"/>
        <w:keepNext/>
        <w:keepLines/>
      </w:pPr>
      <w:r>
        <w:rPr>
          <w:color w:val="0066CC"/>
        </w:rPr>
        <w:t>6. Versionado sugerido</w:t>
      </w:r>
    </w:p>
    <w:p>
      <w:pPr>
        <w:pStyle w:val="ListBullet"/>
        <w:keepLines w:val="1"/>
        <w:keepNext w:val="1"/>
        <w:widowControl w:val="1"/>
      </w:pPr>
      <w:r>
        <w:t>v1.0 – Primera versión operativa del kit.</w:t>
      </w:r>
    </w:p>
    <w:p>
      <w:pPr>
        <w:pStyle w:val="ListBullet"/>
        <w:keepLines w:val="1"/>
        <w:keepNext w:val="1"/>
        <w:widowControl w:val="1"/>
      </w:pPr>
      <w:r>
        <w:t>v1.1 – Ajustes de redacción, sin cambios estructurales.</w:t>
      </w:r>
    </w:p>
    <w:p>
      <w:pPr>
        <w:pStyle w:val="ListBullet"/>
        <w:keepLines w:val="1"/>
        <w:widowControl w:val="1"/>
      </w:pPr>
      <w:r>
        <w:t>v2.0 – Cambios relevantes en preguntas, pesos de IGM o conjunto de métricas PRAGMATIC.</w:t>
      </w:r>
    </w:p>
    <w:p>
      <w:r>
        <w:t>Documentar versión y fecha en todos los artefactos principales (encuesta, Excel, presentaciones).</w:t>
      </w:r>
    </w:p>
    <w:p>
      <w:pPr>
        <w:pStyle w:val="Heading2"/>
        <w:keepNext/>
        <w:keepLines/>
      </w:pPr>
      <w:r>
        <w:rPr>
          <w:color w:val="0066CC"/>
        </w:rPr>
        <w:t>7. Y ahora, ¿qué?</w:t>
      </w:r>
    </w:p>
    <w:p>
      <w:r>
        <w:t xml:space="preserve">Con el kit montado, el siguiente paso es casi existencial: </w:t>
      </w:r>
      <w:r>
        <w:rPr>
          <w:b/>
        </w:rPr>
        <w:t>pasar de la intención a la medición</w:t>
      </w:r>
      <w:r>
        <w:t>.</w:t>
      </w:r>
      <w:r/>
      <w:r>
        <w:br/>
        <w:t>Responder la encuesta, calcular el IGM y mirar de frente los indicadores KEV es mucho más sano que esperar a que sea un ransomware el que haga de auditor inesperado.</w:t>
      </w:r>
    </w:p>
    <w:p>
      <w:r>
        <w:t>Si en algún punto del proceso siente una punzada de ironía al ver reflejada la realidad, enhorabuena: significa que el kit está funcionando.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