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sobre Gestión de Vulnerabilidades KEV, Pentesting, SIEM y Capacitación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reúne todos los materiales necesarios para diseñar, aplicar y explotar una encuesta de madurez en ciberseguridad centrada en:</w:t>
      </w:r>
    </w:p>
    <w:p>
      <w:pPr>
        <w:pStyle w:val="ListBullet"/>
        <w:keepLines w:val="1"/>
        <w:keepNext w:val="1"/>
        <w:widowControl w:val="1"/>
      </w:pPr>
      <w:r>
        <w:t>Gestión de vulnerabilidades (con foco en las Known Exploited Vulnerabilities – KEV).</w:t>
      </w:r>
    </w:p>
    <w:p>
      <w:pPr>
        <w:pStyle w:val="ListBullet"/>
        <w:keepLines w:val="1"/>
        <w:keepNext w:val="1"/>
        <w:widowControl w:val="1"/>
      </w:pPr>
      <w:r>
        <w:t>Pruebas de penetración y ejercicios de Red/Purple Team.</w:t>
      </w:r>
    </w:p>
    <w:p>
      <w:pPr>
        <w:pStyle w:val="ListBullet"/>
        <w:keepLines w:val="1"/>
        <w:keepNext w:val="1"/>
        <w:widowControl w:val="1"/>
      </w:pPr>
      <w:r>
        <w:t>Monitorización y gestión de eventos de seguridad (SIEM/SOC).</w:t>
      </w:r>
    </w:p>
    <w:p>
      <w:pPr>
        <w:pStyle w:val="ListBullet"/>
        <w:keepLines w:val="1"/>
        <w:widowControl w:val="1"/>
      </w:pPr>
      <w:r>
        <w:t>Capacitación y cultura de seguridad de los empleados.</w:t>
      </w:r>
    </w:p>
    <w:p>
      <w:r>
        <w:t xml:space="preserve">Su propósito es ofrecer una base </w:t>
      </w:r>
      <w:r>
        <w:rPr>
          <w:b/>
        </w:rPr>
        <w:t>coherente, reutilizable y extensible</w:t>
      </w:r>
      <w:r>
        <w:t xml:space="preserve"> para diagnósticos organizativos, sectoriales o nacionales.</w:t>
      </w:r>
    </w:p>
    <w:p>
      <w:pPr>
        <w:pStyle w:val="Heading2"/>
        <w:keepNext/>
        <w:keepLines/>
      </w:pPr>
      <w:r>
        <w:rPr>
          <w:color w:val="0066CC"/>
        </w:rPr>
        <w:t>2. Contenidos del kit</w:t>
      </w:r>
    </w:p>
    <w:p>
      <w:r>
        <w:t>El kit incluye los siguientes componentes en formato Markdown:</w:t>
      </w:r>
    </w:p>
    <w:p>
      <w:pPr>
        <w:pStyle w:val="ListNumber"/>
        <w:keepLines w:val="1"/>
        <w:keepNext w:val="1"/>
        <w:widowControl w:val="1"/>
      </w:pPr>
      <w:r>
        <w:t>Modelo de encuesta integral (encuesta-modelo.md)</w:t>
      </w:r>
    </w:p>
    <w:p>
      <w:pPr>
        <w:pStyle w:val="ListNumber"/>
        <w:keepLines w:val="1"/>
        <w:keepNext w:val="1"/>
        <w:widowControl w:val="1"/>
      </w:pPr>
      <w:r>
        <w:t>Cuestionario completo con preguntas estructuradas e identificadores únicos.</w:t>
      </w:r>
    </w:p>
    <w:p>
      <w:pPr>
        <w:pStyle w:val="ListNumber"/>
        <w:keepLines w:val="1"/>
        <w:keepNext w:val="1"/>
        <w:widowControl w:val="1"/>
      </w:pPr>
      <w:r>
        <w:br/>
        <w:t>Opciones de respuesta diseñadas para facilitar la codificación y, de paso, arrancar alguna sonrisa.</w:t>
        <w:br/>
      </w:r>
    </w:p>
    <w:p>
      <w:pPr>
        <w:pStyle w:val="ListNumber"/>
        <w:keepLines w:val="1"/>
        <w:keepNext w:val="1"/>
        <w:widowControl w:val="1"/>
      </w:pPr>
      <w:r>
        <w:br/>
        <w:t>Guía metodológica detallada (guia-metodo.md)</w:t>
        <w:br/>
      </w:r>
    </w:p>
    <w:p>
      <w:pPr>
        <w:pStyle w:val="ListNumber"/>
        <w:keepLines w:val="1"/>
        <w:keepNext w:val="1"/>
        <w:widowControl w:val="1"/>
      </w:pPr>
      <w:r>
        <w:t>Instrucciones para aplicar la encuesta.</w:t>
      </w:r>
    </w:p>
    <w:p>
      <w:pPr>
        <w:pStyle w:val="ListNumber"/>
        <w:keepLines w:val="1"/>
        <w:keepNext w:val="1"/>
        <w:widowControl w:val="1"/>
      </w:pPr>
      <w:r>
        <w:t>Diseño de escalas, tratamiento estadístico y cálculo del Índice Global de Madurez (IGM).</w:t>
      </w:r>
    </w:p>
    <w:p>
      <w:pPr>
        <w:pStyle w:val="ListNumber"/>
        <w:keepLines w:val="1"/>
        <w:keepNext w:val="1"/>
        <w:widowControl w:val="1"/>
      </w:pPr>
      <w:r>
        <w:br/>
        <w:t>Orientaciones para estimar el ROI de iniciativas de mejora.</w:t>
        <w:br/>
      </w:r>
    </w:p>
    <w:p>
      <w:pPr>
        <w:pStyle w:val="ListNumber"/>
        <w:keepLines w:val="1"/>
        <w:keepNext w:val="1"/>
        <w:widowControl w:val="1"/>
      </w:pPr>
      <w:r>
        <w:br/>
        <w:t>Narrativa explicativa (narrativa.md)</w:t>
        <w:br/>
      </w:r>
    </w:p>
    <w:p>
      <w:pPr>
        <w:pStyle w:val="ListNumber"/>
        <w:keepLines w:val="1"/>
        <w:keepNext w:val="1"/>
        <w:widowControl w:val="1"/>
      </w:pPr>
      <w:r>
        <w:t>Texto de acompañamiento que explica el sentido de la encuesta.</w:t>
      </w:r>
    </w:p>
    <w:p>
      <w:pPr>
        <w:pStyle w:val="ListNumber"/>
        <w:keepLines w:val="1"/>
        <w:keepNext w:val="1"/>
        <w:widowControl w:val="1"/>
      </w:pPr>
      <w:r>
        <w:br/>
        <w:t>Útil para introducir el proyecto a la dirección y a las personas encuestadas.</w:t>
        <w:br/>
      </w:r>
    </w:p>
    <w:p>
      <w:pPr>
        <w:pStyle w:val="ListNumber"/>
        <w:keepLines w:val="1"/>
        <w:keepNext w:val="1"/>
        <w:widowControl w:val="1"/>
      </w:pPr>
      <w:r>
        <w:br/>
        <w:t>Mapeo normativo (mapeo-normas.md)</w:t>
        <w:br/>
      </w:r>
    </w:p>
    <w:p>
      <w:pPr>
        <w:pStyle w:val="ListNumber"/>
        <w:keepLines w:val="1"/>
        <w:keepNext w:val="1"/>
        <w:widowControl w:val="1"/>
      </w:pPr>
      <w:r>
        <w:t>Tabla que relaciona cada pregunta con estándares y marcos de referencia (ISO, NIST, ENS, NIS2, etc.).</w:t>
      </w:r>
    </w:p>
    <w:p>
      <w:pPr>
        <w:pStyle w:val="ListNumber"/>
        <w:keepLines w:val="1"/>
        <w:keepNext w:val="1"/>
        <w:widowControl w:val="1"/>
      </w:pPr>
      <w:r>
        <w:br/>
        <w:t>Facilita auditorías, alineamiento regulatorio y justificación de contenidos.</w:t>
        <w:br/>
      </w:r>
    </w:p>
    <w:p>
      <w:pPr>
        <w:pStyle w:val="ListNumber"/>
        <w:keepLines w:val="1"/>
        <w:keepNext w:val="1"/>
        <w:widowControl w:val="1"/>
      </w:pPr>
      <w:r>
        <w:br/>
        <w:t>Plantilla de Excel para IGM y ROI (plantilla-igm-roi.md)</w:t>
        <w:br/>
      </w:r>
    </w:p>
    <w:p>
      <w:pPr>
        <w:pStyle w:val="ListNumber"/>
        <w:keepLines w:val="1"/>
        <w:keepNext w:val="1"/>
        <w:widowControl w:val="1"/>
      </w:pPr>
      <w:r>
        <w:t>Descripción de la estructura de un libro Excel recomendado.</w:t>
      </w:r>
    </w:p>
    <w:p>
      <w:pPr>
        <w:pStyle w:val="ListNumber"/>
        <w:keepLines w:val="1"/>
        <w:keepNext w:val="1"/>
        <w:widowControl w:val="1"/>
      </w:pPr>
      <w:r>
        <w:br/>
        <w:t>Incluye el esquema de hojas, campos y fórmulas clave para implementar el cálculo de IGM y ROI.</w:t>
        <w:br/>
      </w:r>
    </w:p>
    <w:p>
      <w:pPr>
        <w:pStyle w:val="ListNumber"/>
        <w:keepLines w:val="1"/>
        <w:keepNext w:val="1"/>
        <w:widowControl w:val="1"/>
      </w:pPr>
      <w:r>
        <w:br/>
        <w:t>Plantilla de Reporte Ejecutivo (ppt-reporte.md)</w:t>
        <w:br/>
      </w:r>
    </w:p>
    <w:p>
      <w:pPr>
        <w:pStyle w:val="ListNumber"/>
        <w:keepLines w:val="1"/>
        <w:keepNext w:val="1"/>
        <w:widowControl w:val="1"/>
      </w:pPr>
      <w:r>
        <w:t>Guion de diapositivas para presentar resultados a la alta dirección.</w:t>
      </w:r>
    </w:p>
    <w:p>
      <w:pPr>
        <w:pStyle w:val="ListNumber"/>
        <w:keepLines w:val="1"/>
        <w:widowControl w:val="1"/>
      </w:pPr>
      <w:r>
        <w:t>Pensado para convertir datos en decisiones, evitando que nadie huya de la sala.</w:t>
      </w:r>
    </w:p>
    <w:p>
      <w:r>
        <w:t>Opciones de respuesta diseñadas para facilitar la codificación y, de paso, arrancar alguna sonrisa.</w:t>
      </w:r>
    </w:p>
    <w:p>
      <w:r>
        <w:rPr>
          <w:b/>
        </w:rPr>
        <w:t>Guía metodológica detallada</w:t>
      </w:r>
      <w:r>
        <w:t xml:space="preserve"> (</w:t>
      </w:r>
      <w:r>
        <w:rPr>
          <w:rFonts w:ascii="Courier New" w:hAnsi="Courier New"/>
          <w:sz w:val="18"/>
        </w:rPr>
        <w:t>guia-metodo.md</w:t>
      </w:r>
      <w:r>
        <w:t>)</w:t>
      </w:r>
    </w:p>
    <w:p>
      <w:r>
        <w:t>Orientaciones para estimar el ROI de iniciativas de mejora.</w:t>
      </w:r>
    </w:p>
    <w:p>
      <w:r>
        <w:rPr>
          <w:b/>
        </w:rPr>
        <w:t>Narrativa explicativa</w:t>
      </w:r>
      <w:r>
        <w:t xml:space="preserve"> (</w:t>
      </w:r>
      <w:r>
        <w:rPr>
          <w:rFonts w:ascii="Courier New" w:hAnsi="Courier New"/>
          <w:sz w:val="18"/>
        </w:rPr>
        <w:t>narrativa.md</w:t>
      </w:r>
      <w:r>
        <w:t>)</w:t>
      </w:r>
    </w:p>
    <w:p>
      <w:r>
        <w:t>Útil para introducir el proyecto a la dirección y a las personas encuestadas.</w:t>
      </w:r>
    </w:p>
    <w:p>
      <w:r>
        <w:rPr>
          <w:b/>
        </w:rPr>
        <w:t>Mapeo normativo</w:t>
      </w:r>
      <w:r>
        <w:t xml:space="preserve"> (</w:t>
      </w:r>
      <w:r>
        <w:rPr>
          <w:rFonts w:ascii="Courier New" w:hAnsi="Courier New"/>
          <w:sz w:val="18"/>
        </w:rPr>
        <w:t>mapeo-normas.md</w:t>
      </w:r>
      <w:r>
        <w:t>)</w:t>
      </w:r>
    </w:p>
    <w:p>
      <w:r>
        <w:t>Facilita auditorías, alineamiento regulatorio y justificación de contenidos.</w:t>
      </w:r>
    </w:p>
    <w:p>
      <w:r>
        <w:rPr>
          <w:b/>
        </w:rPr>
        <w:t>Plantilla de Excel para IGM y ROI</w:t>
      </w:r>
      <w:r>
        <w:t xml:space="preserve"> (</w:t>
      </w:r>
      <w:r>
        <w:rPr>
          <w:rFonts w:ascii="Courier New" w:hAnsi="Courier New"/>
          <w:sz w:val="18"/>
        </w:rPr>
        <w:t>plantilla-igm-roi.md</w:t>
      </w:r>
      <w:r>
        <w:t>)</w:t>
      </w:r>
    </w:p>
    <w:p>
      <w:r>
        <w:t>Incluye el esquema de hojas, campos y fórmulas clave para implementar el cálculo de IGM y ROI.</w:t>
      </w:r>
    </w:p>
    <w:p>
      <w:r>
        <w:rPr>
          <w:b/>
        </w:rPr>
        <w:t>Plantilla de Reporte Ejecutivo</w:t>
      </w:r>
      <w:r>
        <w:t xml:space="preserve"> (</w:t>
      </w:r>
      <w:r>
        <w:rPr>
          <w:rFonts w:ascii="Courier New" w:hAnsi="Courier New"/>
          <w:sz w:val="18"/>
        </w:rPr>
        <w:t>ppt-reporte.md</w:t>
      </w:r>
      <w:r>
        <w:t>)</w:t>
      </w:r>
    </w:p>
    <w:p>
      <w:pPr>
        <w:pStyle w:val="Heading2"/>
        <w:keepNext/>
        <w:keepLines/>
      </w:pPr>
      <w:r>
        <w:rPr>
          <w:color w:val="0066CC"/>
        </w:rPr>
        <w:t>3. Cómo empezar (paso a paso)</w:t>
      </w:r>
    </w:p>
    <w:p>
      <w:pPr>
        <w:pStyle w:val="ListNumber"/>
        <w:keepLines w:val="1"/>
        <w:keepNext w:val="1"/>
        <w:widowControl w:val="1"/>
      </w:pPr>
      <w:r>
        <w:t>Adaptar el modelo de encuesta</w:t>
      </w:r>
    </w:p>
    <w:p>
      <w:pPr>
        <w:pStyle w:val="ListNumber"/>
        <w:keepLines w:val="1"/>
        <w:keepNext w:val="1"/>
        <w:widowControl w:val="1"/>
      </w:pPr>
      <w:r>
        <w:t>Revise encuesta-modelo.md y, si es necesario, ajuste la redacción para adaptarla al lenguaje y cultura de su organización.</w:t>
      </w:r>
    </w:p>
    <w:p>
      <w:pPr>
        <w:pStyle w:val="ListNumber"/>
        <w:keepLines w:val="1"/>
        <w:keepNext w:val="1"/>
        <w:widowControl w:val="1"/>
      </w:pPr>
      <w:r>
        <w:br/>
        <w:t>Mantenga los identificadores de pregunta (GOV-01, VUL-01, etc.) para preservar la compatibilidad con el resto del kit.</w:t>
        <w:br/>
      </w:r>
    </w:p>
    <w:p>
      <w:pPr>
        <w:pStyle w:val="ListNumber"/>
        <w:keepLines w:val="1"/>
        <w:keepNext w:val="1"/>
        <w:widowControl w:val="1"/>
      </w:pPr>
      <w:r>
        <w:br/>
        <w:t>Definir el plan de aplicación</w:t>
        <w:br/>
      </w:r>
    </w:p>
    <w:p>
      <w:pPr>
        <w:pStyle w:val="ListNumber"/>
        <w:keepLines w:val="1"/>
        <w:keepNext w:val="1"/>
        <w:widowControl w:val="1"/>
      </w:pPr>
      <w:r>
        <w:br/>
        <w:t>Consulte guia-metodo.md para decidir:</w:t>
        <w:br/>
        <w:br/>
        <w:t>Población objetivo (quién responde).</w:t>
        <w:br/>
        <w:t>Modalidad (online, entrevistas, mixto).</w:t>
        <w:br/>
        <w:t>Calendario y responsable de la coordinación.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Implementar el cuestionario en una herramienta</w:t>
        <w:br/>
      </w:r>
    </w:p>
    <w:p>
      <w:pPr>
        <w:pStyle w:val="ListNumber"/>
        <w:keepLines w:val="1"/>
        <w:keepNext w:val="1"/>
        <w:widowControl w:val="1"/>
      </w:pPr>
      <w:r>
        <w:t>Pase el contenido del modelo de encuesta a la plataforma que utilice (formularios web, herramienta de encuestas, etc.).</w:t>
      </w:r>
    </w:p>
    <w:p>
      <w:pPr>
        <w:pStyle w:val="ListNumber"/>
        <w:keepLines w:val="1"/>
        <w:keepNext w:val="1"/>
        <w:widowControl w:val="1"/>
      </w:pPr>
      <w:r>
        <w:br/>
        <w:t>Asegúrese de que los identificadores de pregunta quedan reflejados en los campos de datos exportados.</w:t>
        <w:br/>
      </w:r>
    </w:p>
    <w:p>
      <w:pPr>
        <w:pStyle w:val="ListNumber"/>
        <w:keepLines w:val="1"/>
        <w:keepNext w:val="1"/>
        <w:widowControl w:val="1"/>
      </w:pPr>
      <w:r>
        <w:br/>
        <w:t>Preparar el libro de Excel</w:t>
        <w:br/>
      </w:r>
    </w:p>
    <w:p>
      <w:pPr>
        <w:pStyle w:val="ListNumber"/>
        <w:keepLines w:val="1"/>
        <w:keepNext w:val="1"/>
        <w:widowControl w:val="1"/>
      </w:pPr>
      <w:r>
        <w:t>Utilice plantilla-igm-roi.md como guía para crear el libro Excel.</w:t>
      </w:r>
    </w:p>
    <w:p>
      <w:pPr>
        <w:pStyle w:val="ListNumber"/>
        <w:keepLines w:val="1"/>
        <w:keepNext w:val="1"/>
        <w:widowControl w:val="1"/>
      </w:pPr>
      <w:r>
        <w:br/>
        <w:t>Configure las hojas Respuestas, Diccionario, Ponderaciones, IGM_Organizaciones, Resumen_Segmentos y ROI.</w:t>
        <w:br/>
      </w:r>
    </w:p>
    <w:p>
      <w:pPr>
        <w:pStyle w:val="ListNumber"/>
        <w:keepLines w:val="1"/>
        <w:keepNext w:val="1"/>
        <w:widowControl w:val="1"/>
      </w:pPr>
      <w:r>
        <w:br/>
        <w:t>Recoger y volcar las respuestas</w:t>
        <w:br/>
      </w:r>
    </w:p>
    <w:p>
      <w:pPr>
        <w:pStyle w:val="ListNumber"/>
        <w:keepLines w:val="1"/>
        <w:keepNext w:val="1"/>
        <w:widowControl w:val="1"/>
      </w:pPr>
      <w:r>
        <w:t>Exporte los datos de la herramienta de encuesta.</w:t>
      </w:r>
    </w:p>
    <w:p>
      <w:pPr>
        <w:pStyle w:val="ListNumber"/>
        <w:keepLines w:val="1"/>
        <w:keepNext w:val="1"/>
        <w:widowControl w:val="1"/>
      </w:pPr>
      <w:r>
        <w:br/>
        <w:t>Impórtelos en la hoja Respuestas siguiendo la estructura recomendada.</w:t>
        <w:br/>
      </w:r>
    </w:p>
    <w:p>
      <w:pPr>
        <w:pStyle w:val="ListNumber"/>
        <w:keepLines w:val="1"/>
        <w:keepNext w:val="1"/>
        <w:widowControl w:val="1"/>
      </w:pPr>
      <w:r>
        <w:br/>
        <w:t>Calcular indicadores y generar gráficos</w:t>
        <w:br/>
      </w:r>
    </w:p>
    <w:p>
      <w:pPr>
        <w:pStyle w:val="ListNumber"/>
        <w:keepLines w:val="1"/>
        <w:keepNext w:val="1"/>
        <w:widowControl w:val="1"/>
      </w:pPr>
      <w:r>
        <w:t>Aplique las fórmulas de IGM y puntuaciones por dimensión.</w:t>
      </w:r>
    </w:p>
    <w:p>
      <w:pPr>
        <w:pStyle w:val="ListNumber"/>
        <w:keepLines w:val="1"/>
        <w:keepNext w:val="1"/>
        <w:widowControl w:val="1"/>
      </w:pPr>
      <w:r>
        <w:br/>
        <w:t>Prepare tablas y gráficos para uso interno y para el reporte ejecutivo.</w:t>
        <w:br/>
      </w:r>
    </w:p>
    <w:p>
      <w:pPr>
        <w:pStyle w:val="ListNumber"/>
        <w:keepLines w:val="1"/>
        <w:keepNext w:val="1"/>
        <w:widowControl w:val="1"/>
      </w:pPr>
      <w:r>
        <w:br/>
        <w:t>Construir la presentación ejecutiva</w:t>
        <w:br/>
      </w:r>
    </w:p>
    <w:p>
      <w:pPr>
        <w:pStyle w:val="ListNumber"/>
        <w:keepLines w:val="1"/>
        <w:keepNext w:val="1"/>
        <w:widowControl w:val="1"/>
      </w:pPr>
      <w:r>
        <w:t>Siga el guion descrito en ppt-reporte.md para montar su presentación.</w:t>
      </w:r>
    </w:p>
    <w:p>
      <w:pPr>
        <w:pStyle w:val="ListNumber"/>
        <w:keepLines w:val="1"/>
        <w:widowControl w:val="1"/>
      </w:pPr>
      <w:r>
        <w:t>Incorpore gráficos procedentes del libro de Excel y mensajes clave adaptados a su audiencia.</w:t>
      </w:r>
    </w:p>
    <w:p>
      <w:r>
        <w:t>Mantenga los identificadores de pregunta (GOV-01, VUL-01, etc.) para preservar la compatibilidad con el resto del kit.</w:t>
      </w:r>
    </w:p>
    <w:p>
      <w:r>
        <w:rPr>
          <w:b/>
        </w:rPr>
        <w:t>Definir el plan de aplicación</w:t>
      </w:r>
    </w:p>
    <w:p>
      <w:r>
        <w:t xml:space="preserve">Consulte </w:t>
      </w:r>
      <w:r>
        <w:rPr>
          <w:rFonts w:ascii="Courier New" w:hAnsi="Courier New"/>
          <w:sz w:val="18"/>
        </w:rPr>
        <w:t>guia-metodo.md</w:t>
      </w:r>
      <w:r>
        <w:t xml:space="preserve"> para decidir:</w:t>
      </w:r>
    </w:p>
    <w:p>
      <w:pPr>
        <w:pStyle w:val="ListBullet"/>
        <w:keepLines w:val="1"/>
        <w:keepNext w:val="1"/>
        <w:widowControl w:val="1"/>
      </w:pPr>
      <w:r>
        <w:t>Población objetivo (quién responde).</w:t>
      </w:r>
    </w:p>
    <w:p>
      <w:pPr>
        <w:pStyle w:val="ListBullet"/>
        <w:keepLines w:val="1"/>
        <w:keepNext w:val="1"/>
        <w:widowControl w:val="1"/>
      </w:pPr>
      <w:r>
        <w:t>Modalidad (online, entrevistas, mixto).</w:t>
      </w:r>
    </w:p>
    <w:p>
      <w:pPr>
        <w:pStyle w:val="ListBullet"/>
        <w:keepLines w:val="1"/>
        <w:widowControl w:val="1"/>
      </w:pPr>
      <w:r>
        <w:t>Calendario y responsable de la coordinación.</w:t>
      </w:r>
    </w:p>
    <w:p>
      <w:r>
        <w:rPr>
          <w:b/>
        </w:rPr>
        <w:t>Implementar el cuestionario en una herramienta</w:t>
      </w:r>
    </w:p>
    <w:p>
      <w:r>
        <w:t>Asegúrese de que los identificadores de pregunta quedan reflejados en los campos de datos exportados.</w:t>
      </w:r>
    </w:p>
    <w:p>
      <w:r>
        <w:rPr>
          <w:b/>
        </w:rPr>
        <w:t>Preparar el libro de Excel</w:t>
      </w:r>
    </w:p>
    <w:p>
      <w:r>
        <w:t xml:space="preserve">Configure las hojas </w:t>
      </w:r>
      <w:r>
        <w:rPr>
          <w:rFonts w:ascii="Courier New" w:hAnsi="Courier New"/>
          <w:sz w:val="18"/>
        </w:rPr>
        <w:t>Respuestas</w:t>
      </w:r>
      <w:r>
        <w:t xml:space="preserve">, </w:t>
      </w:r>
      <w:r>
        <w:rPr>
          <w:rFonts w:ascii="Courier New" w:hAnsi="Courier New"/>
          <w:sz w:val="18"/>
        </w:rPr>
        <w:t>Diccionario</w:t>
      </w:r>
      <w:r>
        <w:t xml:space="preserve">, </w:t>
      </w:r>
      <w:r>
        <w:rPr>
          <w:rFonts w:ascii="Courier New" w:hAnsi="Courier New"/>
          <w:sz w:val="18"/>
        </w:rPr>
        <w:t>Ponderaciones</w:t>
      </w:r>
      <w:r>
        <w:t xml:space="preserve">, </w:t>
      </w:r>
      <w:r>
        <w:rPr>
          <w:rFonts w:ascii="Courier New" w:hAnsi="Courier New"/>
          <w:sz w:val="18"/>
        </w:rPr>
        <w:t>IGM_Organizaciones</w:t>
      </w:r>
      <w:r>
        <w:t xml:space="preserve">, </w:t>
      </w:r>
      <w:r>
        <w:rPr>
          <w:rFonts w:ascii="Courier New" w:hAnsi="Courier New"/>
          <w:sz w:val="18"/>
        </w:rPr>
        <w:t>Resumen_Segmentos</w:t>
      </w:r>
      <w:r>
        <w:t xml:space="preserve"> y </w:t>
      </w:r>
      <w:r>
        <w:rPr>
          <w:rFonts w:ascii="Courier New" w:hAnsi="Courier New"/>
          <w:sz w:val="18"/>
        </w:rPr>
        <w:t>ROI</w:t>
      </w:r>
      <w:r>
        <w:t>.</w:t>
      </w:r>
    </w:p>
    <w:p>
      <w:r>
        <w:rPr>
          <w:b/>
        </w:rPr>
        <w:t>Recoger y volcar las respuestas</w:t>
      </w:r>
    </w:p>
    <w:p>
      <w:r>
        <w:t xml:space="preserve">Impórtelos en la hoja </w:t>
      </w:r>
      <w:r>
        <w:rPr>
          <w:rFonts w:ascii="Courier New" w:hAnsi="Courier New"/>
          <w:sz w:val="18"/>
        </w:rPr>
        <w:t>Respuestas</w:t>
      </w:r>
      <w:r>
        <w:t xml:space="preserve"> siguiendo la estructura recomendada.</w:t>
      </w:r>
    </w:p>
    <w:p>
      <w:r>
        <w:rPr>
          <w:b/>
        </w:rPr>
        <w:t>Calcular indicadores y generar gráficos</w:t>
      </w:r>
    </w:p>
    <w:p>
      <w:r>
        <w:t>Prepare tablas y gráficos para uso interno y para el reporte ejecutivo.</w:t>
      </w:r>
    </w:p>
    <w:p>
      <w:r>
        <w:rPr>
          <w:b/>
        </w:rPr>
        <w:t>Construir la presentación ejecutiva</w:t>
      </w:r>
    </w:p>
    <w:p>
      <w:pPr>
        <w:pStyle w:val="Heading2"/>
        <w:keepNext/>
        <w:keepLines/>
      </w:pPr>
      <w:r>
        <w:rPr>
          <w:color w:val="0066CC"/>
        </w:rPr>
        <w:t>4. Preguntas frecuentes (FAQ)</w:t>
      </w:r>
    </w:p>
    <w:p>
      <w:r>
        <w:rPr>
          <w:b/>
        </w:rPr>
        <w:t>P: ¿Es obligatorio utilizar todas las preguntas del cuestionario?</w:t>
      </w:r>
      <w:r/>
      <w:r>
        <w:br/>
        <w:t xml:space="preserve">R: No, pero es altamente recomendable. Si se eliminan preguntas, revise </w:t>
      </w:r>
      <w:r>
        <w:rPr>
          <w:rFonts w:ascii="Courier New" w:hAnsi="Courier New"/>
          <w:sz w:val="18"/>
        </w:rPr>
        <w:t>mapeo-normas.md</w:t>
      </w:r>
      <w:r>
        <w:t xml:space="preserve"> y las ponderaciones del IGM para mantener la coherencia.</w:t>
      </w:r>
    </w:p>
    <w:p>
      <w:r>
        <w:rPr>
          <w:b/>
        </w:rPr>
        <w:t>P: ¿Podemos añadir preguntas propias?</w:t>
      </w:r>
      <w:r/>
      <w:r>
        <w:br/>
        <w:t>R: Sí. Puede extender el cuestionario con preguntas adicionales (por ejemplo, específicas de su sector), asignándoles nuevos identificadores y añadiéndolas al diccionario y a las ponderaciones.</w:t>
      </w:r>
    </w:p>
    <w:p>
      <w:r>
        <w:rPr>
          <w:b/>
        </w:rPr>
        <w:t>P: ¿Es este kit un sustituto de auditorías formales o pentests?</w:t>
      </w:r>
      <w:r/>
      <w:r>
        <w:br/>
        <w:t>R: No. Es un complemento de diagnóstico que ayuda a saber dónde poner el foco, pero no reemplaza pruebas técnicas ni revisiones de cumplimiento.</w:t>
      </w:r>
    </w:p>
    <w:p>
      <w:r>
        <w:rPr>
          <w:b/>
        </w:rPr>
        <w:t>P: ¿Qué hacemos si los resultados son «malos»?</w:t>
      </w:r>
      <w:r/>
      <w:r>
        <w:br/>
        <w:t>R: Felicitarse: ahora disponen de un mapa claro de por dónde empezar. Lo preocupante no es tener áreas rojas; es no saber dónde están.</w:t>
      </w:r>
    </w:p>
    <w:p>
      <w:pPr>
        <w:pStyle w:val="Heading2"/>
        <w:keepNext/>
        <w:keepLines/>
      </w:pPr>
      <w:r>
        <w:rPr>
          <w:color w:val="0066CC"/>
        </w:rPr>
        <w:t>5. Recomendaciones de uso responsable</w:t>
      </w:r>
    </w:p>
    <w:p>
      <w:pPr>
        <w:pStyle w:val="ListBullet"/>
        <w:keepLines w:val="1"/>
        <w:keepNext w:val="1"/>
        <w:widowControl w:val="1"/>
      </w:pPr>
      <w:r>
        <w:t>Tratar los resultados con confidencialidad adecuada: reflejan debilidades que no deben circular alegremente fuera del círculo de responsabilidad.</w:t>
      </w:r>
    </w:p>
    <w:p>
      <w:pPr>
        <w:pStyle w:val="ListBullet"/>
        <w:keepLines w:val="1"/>
        <w:keepNext w:val="1"/>
        <w:widowControl w:val="1"/>
      </w:pPr>
      <w:r>
        <w:t>Enfocar los hallazgos como oportunidades de mejora, no como armas arrojadizas entre departamentos.</w:t>
      </w:r>
    </w:p>
    <w:p>
      <w:pPr>
        <w:pStyle w:val="ListBullet"/>
        <w:keepLines w:val="1"/>
        <w:widowControl w:val="1"/>
      </w:pPr>
      <w:r>
        <w:t>Comunicar a las personas encuestadas el resultado global y las principales conclusiones, como forma de devolver valor a su participación.</w:t>
      </w:r>
    </w:p>
    <w:p>
      <w:pPr>
        <w:pStyle w:val="Heading2"/>
        <w:keepNext/>
        <w:keepLines/>
      </w:pPr>
      <w:r>
        <w:rPr>
          <w:color w:val="0066CC"/>
        </w:rPr>
        <w:t>6. Personalización y versiones</w:t>
      </w:r>
    </w:p>
    <w:p>
      <w:r>
        <w:t>Se recomienda mantener un sencillo esquema de versionado, por ejemplo:</w:t>
      </w:r>
    </w:p>
    <w:p>
      <w:pPr>
        <w:pStyle w:val="ListBullet"/>
        <w:keepLines w:val="1"/>
        <w:keepNext w:val="1"/>
        <w:widowControl w:val="1"/>
      </w:pPr>
      <w:r>
        <w:t>v1.0 – Primera versión aplicada.</w:t>
      </w:r>
    </w:p>
    <w:p>
      <w:pPr>
        <w:pStyle w:val="ListBullet"/>
        <w:keepLines w:val="1"/>
        <w:keepNext w:val="1"/>
        <w:widowControl w:val="1"/>
      </w:pPr>
      <w:r>
        <w:t>v1.1 – Ajustes menores en redacción sin cambios en estructura.</w:t>
      </w:r>
    </w:p>
    <w:p>
      <w:pPr>
        <w:pStyle w:val="ListBullet"/>
        <w:keepLines w:val="1"/>
        <w:widowControl w:val="1"/>
      </w:pPr>
      <w:r>
        <w:t>v2.0 – Cambios estructurales (nuevas preguntas, reponderación significativa, etc.).</w:t>
      </w:r>
    </w:p>
    <w:p>
      <w:r>
        <w:t>Incluya esta información en la documentación interna y, si es posible, en las propias hojas de cálculo y presentaciones.</w:t>
      </w:r>
    </w:p>
    <w:p>
      <w:pPr>
        <w:pStyle w:val="Heading2"/>
        <w:keepNext/>
        <w:keepLines/>
      </w:pPr>
      <w:r>
        <w:rPr>
          <w:color w:val="0066CC"/>
        </w:rPr>
        <w:t>7. Licencia y créditos</w:t>
      </w:r>
    </w:p>
    <w:p>
      <w:r>
        <w:t>Este kit está pensado para ser reutilizado y adaptado. Siempre que lo modifique:</w:t>
      </w:r>
    </w:p>
    <w:p>
      <w:pPr>
        <w:pStyle w:val="ListBullet"/>
        <w:keepLines w:val="1"/>
        <w:keepNext w:val="1"/>
        <w:widowControl w:val="1"/>
      </w:pPr>
      <w:r>
        <w:t>Indique la fuente original de inspiración.</w:t>
      </w:r>
    </w:p>
    <w:p>
      <w:pPr>
        <w:pStyle w:val="ListBullet"/>
        <w:keepLines w:val="1"/>
        <w:widowControl w:val="1"/>
      </w:pPr>
      <w:r>
        <w:t>Documente claramente sus cambios para que futuros usuarios internos no tengan que hacer arqueología documental.</w:t>
      </w:r>
    </w:p>
    <w:p>
      <w:r>
        <w:t>Y, sobre todo, úselo para impulsar conversaciones informadas, constructivas y (si se puede) un poco más amenas sobre ciberseguridad. Porque hablar de vulnerabilidades y KEV no tiene por qué ser sinónimo de bostezos ni de apocalipsis inevitable.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