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INDICADORES ↔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Completa GQM + PRAGMATIC a GDPR/DORA/NIS2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Cada indicador CRM mapeado a:</w:t>
      </w:r>
      <w:r/>
      <w:r>
        <w:br/>
        <w:t>- ✓ Artículos regulatorios específicos (GDPR, DORA, NIS2, NIST CSF 2.0)</w:t>
      </w:r>
      <w:r/>
      <w:r>
        <w:br/>
        <w:t>- ✓ Evidencia requerida para cumplimiento</w:t>
      </w:r>
      <w:r/>
      <w:r>
        <w:br/>
        <w:t>- ✓ Sanciones si no cumplido</w:t>
      </w:r>
      <w:r/>
      <w:r>
        <w:br/>
        <w:t>- ✓ Frecuencia auditoría</w:t>
      </w:r>
    </w:p>
    <w:p>
      <w:pPr>
        <w:pStyle w:val="Heading2"/>
        <w:keepNext/>
        <w:keepLines/>
      </w:pPr>
      <w:r>
        <w:rPr>
          <w:color w:val="0066CC"/>
        </w:rPr>
        <w:t>MATRIZ COMPLETA: INDICADORES ↔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Goal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Sanciones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IGM Score (0-4)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G1-G10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11-16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13-18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 + Manage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€20M / 4%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Assessment report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RAS Documentado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5 (governance)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11 (RF)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Govern.RM-2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 / 2%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RAS doc + approval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CISO Designado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32(7)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Govern.OC-1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 (governance gap)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Org chart + contract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Ongoing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Risk Tolerance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32(1)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Govern.OC-2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RT document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Junta Oversight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Implicit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Govern.OC-3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Board minutes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ALE Top 5 Risks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32(2)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Identify.RA-1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Risk register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ROI Analysis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 (cost-benefit)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Govern.RM-3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 (ineffective controls)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Business cases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Por decisión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PASTA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32(1)(d)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Identify.RA-1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TM documentation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 criticos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Attack Trees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32(1)(d)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Identify.RA-2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Attack tree docs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 criticos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MTTD (minutos)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33 (notify 72h)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19 (incident detect)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Detect.DE-1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€20M (breach)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 logs + timeline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Daily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MTTR (horas)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33 (contain)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19 (&lt;4h críticos)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Respond.RS-1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€20M (prolonged breach)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Incident tickets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Daily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Patch % &lt;7d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32(1)(b)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Protect.PR-3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 (unpatched vuln breach)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Patch logs + timestamps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Weekly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Scanning Freq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32(2)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Identify.RA-2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Scan schedule logs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Daily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CVSS v4.0 Usage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 (severity)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Identify.RA-1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 (poor prioritization)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Vulnerability reports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Per vuln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Vendor Audit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28 (DPA audit)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29 (3rd-party)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Govern.GV-4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 (vendor breach)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Audit reports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SBOM Maintained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 (integrity)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29 (deps)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Identify.RA-1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 (supply chain)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SBOM files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Per deployment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Contractual Security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28 (mandatory)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29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Govern.GV-4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Contracts reviewed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Per nuevos terceros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Phishing Click % &lt;5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32(7) (awareness)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Govern.OC-2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 (human breach)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Phishing reports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Monthly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Phishing Report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32(7)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Implied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Govern.OC-2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€3M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Report logs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Monthly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Training Completion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32(7) (mandatory)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12 (competence)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Govern.OC-2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Training records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GDPR Compliance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5, 32, 33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Overlaps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Align to CSF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€20M / 4% revenue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Audit report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DORA Compliance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11-30 (all)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Overlaps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Align CSF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 / 2% revenue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Compliance audit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 (financial sector)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NIS2 Readiness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 overlaps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29 overlaps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13-18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Align CSF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€10M (essential) / €7M (important)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Gap analysis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Quarterly (pre-trans)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Policy-as-Code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32(1)(c)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 (tech measures)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Protect.PR-1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 (policy drift)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Policy code + deployment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Continuous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IaC Adoption 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G10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32(1)(a)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Protect.PR-2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€5M (misconfig)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IaC repos + audit logs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Continuous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Resilience Testing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G10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4.2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 32(1)(b)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 19 (DR testing)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 13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Recover.RC-1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€10M (RTO exceeded)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Test results + reports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Anual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ANÁLISIS POR REGULACIÓN</w:t>
      </w:r>
    </w:p>
    <w:p>
      <w:pPr>
        <w:pStyle w:val="Heading3"/>
        <w:keepNext/>
        <w:keepLines/>
      </w:pPr>
      <w:r>
        <w:t>GDPR (Vigente Mayo 2018)</w:t>
      </w:r>
    </w:p>
    <w:p>
      <w:r>
        <w:rPr>
          <w:b/>
        </w:rPr>
        <w:t>Sanciones:</w:t>
      </w:r>
      <w:r>
        <w:t xml:space="preserve"> €20M o 4% revenue global (lo que sea mayor)</w:t>
      </w:r>
    </w:p>
    <w:p>
      <w:r>
        <w:rPr>
          <w:b/>
        </w:rPr>
        <w:t>Artículos Clave para CRM:</w:t>
      </w:r>
      <w:r/>
      <w:r>
        <w:br/>
        <w:t>- Art 5: Principios (confidentiality, integrity, availability)</w:t>
      </w:r>
      <w:r/>
      <w:r>
        <w:br/>
        <w:t>- Art 32: Medidas seguridad (técnicas + organizacionales)</w:t>
      </w:r>
      <w:r/>
      <w:r>
        <w:br/>
        <w:t>- Art 33: Notificación breach 72h</w:t>
      </w:r>
    </w:p>
    <w:p>
      <w:r>
        <w:rPr>
          <w:b/>
        </w:rPr>
        <w:t>Indicadores Críticos:</w:t>
      </w:r>
      <w:r/>
      <w:r>
        <w:br/>
        <w:t>1. RAS Documentado (Art 32.1)</w:t>
      </w:r>
      <w:r/>
      <w:r>
        <w:br/>
        <w:t>2. MTTD &lt;30 min (Art 33 — 72h limit)</w:t>
      </w:r>
      <w:r/>
      <w:r>
        <w:br/>
        <w:t>3. Patch % &lt;7d (Art 32.1.b)</w:t>
      </w:r>
      <w:r/>
      <w:r>
        <w:br/>
        <w:t>4. Training Completion (Art 32.7)</w:t>
      </w:r>
      <w:r/>
      <w:r>
        <w:br/>
        <w:t>5. GDPR Compliance Score</w:t>
      </w:r>
    </w:p>
    <w:p>
      <w:r>
        <w:rPr>
          <w:b/>
        </w:rPr>
        <w:t>Gap Spain 2026:</w:t>
      </w:r>
      <w:r>
        <w:t xml:space="preserve"> GDPR ~85% compliance → target 95%</w:t>
      </w:r>
    </w:p>
    <w:p>
      <w:pPr>
        <w:pStyle w:val="Heading3"/>
        <w:keepNext/>
        <w:keepLines/>
      </w:pPr>
      <w:r>
        <w:t>DORA (Vigente Enero 2025 — SECTOR FINANCIERO)</w:t>
      </w:r>
    </w:p>
    <w:p>
      <w:r>
        <w:rPr>
          <w:b/>
        </w:rPr>
        <w:t>Sanciones:</w:t>
      </w:r>
      <w:r>
        <w:t xml:space="preserve"> €10M o 2% revenue (financial sector only)</w:t>
      </w:r>
    </w:p>
    <w:p>
      <w:r>
        <w:rPr>
          <w:b/>
        </w:rPr>
        <w:t>Artículos Clave:</w:t>
      </w:r>
      <w:r/>
      <w:r>
        <w:br/>
        <w:t>- Art 11: RAS framework (obligatorio)</w:t>
      </w:r>
      <w:r/>
      <w:r>
        <w:br/>
        <w:t>- Art 15: Risk assessment (cuantificación)</w:t>
      </w:r>
      <w:r/>
      <w:r>
        <w:br/>
        <w:t>- Art 19: Incident management (&lt;4h MTTR críticos)</w:t>
      </w:r>
      <w:r/>
      <w:r>
        <w:br/>
        <w:t>- Art 29: Third-party risk</w:t>
      </w:r>
    </w:p>
    <w:p>
      <w:r>
        <w:rPr>
          <w:b/>
        </w:rPr>
        <w:t>Indicadores Críticos:</w:t>
      </w:r>
      <w:r/>
      <w:r>
        <w:br/>
        <w:t>1. RAS Documentado (Art 11)</w:t>
      </w:r>
      <w:r/>
      <w:r>
        <w:br/>
        <w:t>2. ALE Top 5 Risks (Art 15)</w:t>
      </w:r>
      <w:r/>
      <w:r>
        <w:br/>
        <w:t>3. MTTR &lt;4h (Art 19)</w:t>
      </w:r>
      <w:r/>
      <w:r>
        <w:br/>
        <w:t>4. MTTD &lt;30 min (Art 19)</w:t>
      </w:r>
      <w:r/>
      <w:r>
        <w:br/>
        <w:t>5. Vendor Audit % (Art 29)</w:t>
      </w:r>
      <w:r/>
      <w:r>
        <w:br/>
        <w:t>6. DORA Compliance Score</w:t>
      </w:r>
    </w:p>
    <w:p>
      <w:r>
        <w:rPr>
          <w:b/>
        </w:rPr>
        <w:t>Aplicabilidad España:</w:t>
      </w:r>
      <w:r>
        <w:t xml:space="preserve"> Sector financiero (BdE, CNMV oversight)</w:t>
      </w:r>
    </w:p>
    <w:p>
      <w:pPr>
        <w:pStyle w:val="Heading3"/>
        <w:keepNext/>
        <w:keepLines/>
      </w:pPr>
      <w:r>
        <w:t>NIS2 (España Q1 2026 Transposición)</w:t>
      </w:r>
    </w:p>
    <w:p>
      <w:r>
        <w:rPr>
          <w:b/>
        </w:rPr>
        <w:t>Sanciones:</w:t>
      </w:r>
      <w:r>
        <w:t xml:space="preserve"> €10M (essential entities) / €7M (important entities)</w:t>
      </w:r>
    </w:p>
    <w:p>
      <w:r>
        <w:rPr>
          <w:b/>
        </w:rPr>
        <w:t>Artículos Clave:</w:t>
      </w:r>
      <w:r/>
      <w:r>
        <w:br/>
        <w:t>- Art 13: Medidas seguridad (técnicas + org)</w:t>
      </w:r>
      <w:r/>
      <w:r>
        <w:br/>
        <w:t>- Art 17: Gobernanza (CISO, RAS, etc.)</w:t>
      </w:r>
      <w:r/>
      <w:r>
        <w:br/>
        <w:t>- Art 18: Supervisión (regulador)</w:t>
      </w:r>
      <w:r/>
      <w:r>
        <w:br/>
        <w:t>- Art 19: Incidente reporting 24h</w:t>
      </w:r>
    </w:p>
    <w:p>
      <w:r>
        <w:rPr>
          <w:b/>
        </w:rPr>
        <w:t>Indicadores Críticos:</w:t>
      </w:r>
      <w:r/>
      <w:r>
        <w:br/>
        <w:t>1. IGM Score &gt;3.0 (framework alignment)</w:t>
      </w:r>
      <w:r/>
      <w:r>
        <w:br/>
        <w:t>2. CISO Designado (Art 18)</w:t>
      </w:r>
      <w:r/>
      <w:r>
        <w:br/>
        <w:t>3. Risk Tolerance (Art 17)</w:t>
      </w:r>
      <w:r/>
      <w:r>
        <w:br/>
        <w:t>4. Incident Response &lt;24h (Art 19)</w:t>
      </w:r>
      <w:r/>
      <w:r>
        <w:br/>
        <w:t>5. Supply Chain Risk (Art 17)</w:t>
      </w:r>
      <w:r/>
      <w:r>
        <w:br/>
        <w:t>6. NIS2 Readiness Score</w:t>
      </w:r>
    </w:p>
    <w:p>
      <w:r>
        <w:rPr>
          <w:b/>
        </w:rPr>
        <w:t>Impacto España:</w:t>
      </w:r>
      <w:r>
        <w:t xml:space="preserve"> 5.700-9.800 entidades afectadas (vs 6.000 NIS1)</w:t>
      </w:r>
    </w:p>
    <w:p>
      <w:pPr>
        <w:pStyle w:val="Heading3"/>
        <w:keepNext/>
        <w:keepLines/>
      </w:pPr>
      <w:r>
        <w:t>NIST CSF 2.0 (Referencia Global)</w:t>
      </w:r>
    </w:p>
    <w:p>
      <w:r>
        <w:rPr>
          <w:b/>
        </w:rPr>
        <w:t>No sanciones directas; pero recomendado:</w:t>
      </w:r>
      <w:r/>
      <w:r>
        <w:br/>
        <w:t>- EU (DORA, NIS2 alignment)</w:t>
      </w:r>
      <w:r/>
      <w:r>
        <w:br/>
        <w:t>- España (INCIBE guidance)</w:t>
      </w:r>
      <w:r/>
      <w:r>
        <w:br/>
        <w:t>- US (DHS procurement requirement)</w:t>
      </w:r>
    </w:p>
    <w:p>
      <w:r>
        <w:rPr>
          <w:b/>
        </w:rPr>
        <w:t>Indicadores Críticos:</w:t>
      </w:r>
      <w:r/>
      <w:r>
        <w:br/>
        <w:t>1. IGM Score (CSF alignment)</w:t>
      </w:r>
      <w:r/>
      <w:r>
        <w:br/>
        <w:t>2. Govern function (nueva 2024)</w:t>
      </w:r>
      <w:r/>
      <w:r>
        <w:br/>
        <w:t>3. MTTD + MTTR (Detect + Respond)</w:t>
      </w:r>
      <w:r/>
      <w:r>
        <w:br/>
        <w:t>4. Patch % (Protect)</w:t>
      </w:r>
      <w:r/>
      <w:r>
        <w:br/>
        <w:t>5. Training (Govern awareness)</w:t>
      </w:r>
    </w:p>
    <w:p>
      <w:pPr>
        <w:pStyle w:val="Heading2"/>
        <w:keepNext/>
        <w:keepLines/>
      </w:pPr>
      <w:r>
        <w:rPr>
          <w:color w:val="0066CC"/>
        </w:rPr>
        <w:t>SECCIÓN 3: COMPLIANCE RISK SCORING</w:t>
      </w:r>
    </w:p>
    <w:p>
      <w:pPr>
        <w:pStyle w:val="Heading3"/>
        <w:keepNext/>
        <w:keepLines/>
      </w:pPr>
      <w:r>
        <w:t>Cálculo Compliance Risk por Regulación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GDPR Compliance Score = (Indicadores GDPR cumplidos / Total) × 100</w:t>
        <w:br/>
        <w:br/>
        <w:t>INDICADORES GDPR (5 críticos):</w:t>
        <w:br/>
        <w:t xml:space="preserve">  1. RAS Documentado: ✓ o ✗</w:t>
        <w:br/>
        <w:t xml:space="preserve">  2. MTTD &lt;30 min: ✓ o ✗</w:t>
        <w:br/>
        <w:t xml:space="preserve">  3. Patch % &lt;7d: ✓ o ✗</w:t>
        <w:br/>
        <w:t xml:space="preserve">  4. Training Completion: ✓ o ✗</w:t>
        <w:br/>
        <w:t xml:space="preserve">  5. Audit Trail Maintained: ✓ o ✗</w:t>
        <w:br/>
        <w:br/>
        <w:t>SCORE = 4/5 cumplidos → 80% GDPR compliance</w:t>
        <w:br/>
      </w:r>
    </w:p>
    <w:p>
      <w:pPr>
        <w:pStyle w:val="Heading3"/>
        <w:keepNext/>
        <w:keepLines/>
      </w:pPr>
      <w:r>
        <w:t>Risk Matrix: Sanción Potencial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Compliance %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 Fine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Fine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Fine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GREEN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95%+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&lt;€1M (art 83.4)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&lt;€1M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&lt;€1M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AMBER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90-95%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€1-5M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€1-5M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€1-5M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ORANGE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80-90%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€5-10M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€5-10M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€5-10M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RED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&lt;80%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€10-20M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€10M (exact)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€10M (exact)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🔴 CRITICAL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AUDITORÍA READINESS</w:t>
      </w:r>
    </w:p>
    <w:p>
      <w:pPr>
        <w:pStyle w:val="Heading3"/>
        <w:keepNext/>
        <w:keepLines/>
      </w:pPr>
      <w:r>
        <w:t>Checklist por Regulación</w:t>
      </w:r>
    </w:p>
    <w:p>
      <w:pPr>
        <w:pStyle w:val="Heading4"/>
        <w:keepNext/>
        <w:keepLines/>
      </w:pPr>
      <w:r>
        <w:t>Para GDPR Audit: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RAS documentado + versión control</w:t>
        <w:br/>
        <w:t>☐ Risk register con ALE</w:t>
        <w:br/>
        <w:t>☐ MTTD logs (SIEM eventos)</w:t>
        <w:br/>
        <w:t>☐ Patch records timestamped</w:t>
        <w:br/>
        <w:t>☐ Training certificates (todos empleados)</w:t>
        <w:br/>
        <w:t>☐ Data breach log (incidents &lt;72h notificados)</w:t>
        <w:br/>
        <w:t>☐ Vendor contracts (DPA Art 28)</w:t>
        <w:br/>
        <w:t>☐ Retention policy documented</w:t>
        <w:br/>
      </w:r>
    </w:p>
    <w:p>
      <w:pPr>
        <w:pStyle w:val="Heading4"/>
        <w:keepNext/>
        <w:keepLines/>
      </w:pPr>
      <w:r>
        <w:t>Para DORA Audit: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RAS + Risk Tolerance Statement</w:t>
        <w:br/>
        <w:t>☐ Risk assessment report (FAIR o similar)</w:t>
        <w:br/>
        <w:t>☐ ICT incident log + MTTR per incident</w:t>
        <w:br/>
        <w:t>☐ Vendor audit results + contracts</w:t>
        <w:br/>
        <w:t>☐ DR testing results + RTO/RPO validation</w:t>
        <w:br/>
        <w:t>☐ Board minutes (CISO reporting)</w:t>
        <w:br/>
        <w:t>☐ Third-party risk assessment register</w:t>
        <w:br/>
      </w:r>
    </w:p>
    <w:p>
      <w:pPr>
        <w:pStyle w:val="Heading4"/>
        <w:keepNext/>
        <w:keepLines/>
      </w:pPr>
      <w:r>
        <w:t>Para NIS2 Audit (Pre-Transposición):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Security posture self-assessment</w:t>
        <w:br/>
        <w:t>☐ NIST CSF 2.0 mapping</w:t>
        <w:br/>
        <w:t>☐ Governance docs (CISO, RAS, Risk Tolerance)</w:t>
        <w:br/>
        <w:t>☐ Incident response plan + 24h notification capability</w:t>
        <w:br/>
        <w:t>☐ Supply chain risk register</w:t>
        <w:br/>
        <w:t>☐ Incident history (últimos 12 meses)</w:t>
        <w:br/>
        <w:t>☐ Threat modeling documentation</w:t>
        <w:br/>
      </w:r>
    </w:p>
    <w:p>
      <w:pPr>
        <w:pStyle w:val="Heading2"/>
        <w:keepNext/>
        <w:keepLines/>
      </w:pPr>
      <w:r>
        <w:rPr>
          <w:color w:val="0066CC"/>
        </w:rPr>
        <w:t>SECCIÓN 5: TIMELINE CUMPLIMIENTO</w:t>
      </w:r>
    </w:p>
    <w:p>
      <w:pPr>
        <w:pStyle w:val="Heading3"/>
        <w:keepNext/>
        <w:keepLines/>
      </w:pPr>
      <w:r>
        <w:t>España 2026 Critical Dates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ENERO 2026:</w:t>
        <w:br/>
        <w:t xml:space="preserve">  → NIS2 formal publication (posible)</w:t>
        <w:br/>
        <w:t xml:space="preserve">  → CNCS begins public consultation</w:t>
        <w:br/>
        <w:br/>
        <w:t>MARZO 2026:</w:t>
        <w:br/>
        <w:t xml:space="preserve">  → NIS2 transposición draft deadline</w:t>
        <w:br/>
        <w:t xml:space="preserve">  → "Essential entities" identification</w:t>
        <w:br/>
        <w:br/>
        <w:t>JUNIO 2026:</w:t>
        <w:br/>
        <w:t xml:space="preserve">  → NIS2 ley en BOE (estimado)</w:t>
        <w:br/>
        <w:t xml:space="preserve">  → Cumplimiento obligatorio begins</w:t>
        <w:br/>
        <w:br/>
        <w:t>SEPTIEMBRE 2026:</w:t>
        <w:br/>
        <w:t xml:space="preserve">  → DORA deadline (sector financiero)</w:t>
        <w:br/>
        <w:t xml:space="preserve">  → CNCS enforcement begins</w:t>
        <w:br/>
        <w:br/>
        <w:t>Q4 2026:</w:t>
        <w:br/>
        <w:t xml:space="preserve">  → First NIS2 compliance reports due</w:t>
        <w:br/>
        <w:t xml:space="preserve">  → CNCS audit campaigns</w:t>
        <w:br/>
      </w:r>
    </w:p>
    <w:p>
      <w:pPr>
        <w:pStyle w:val="Heading3"/>
        <w:keepNext/>
        <w:keepLines/>
      </w:pPr>
      <w:r>
        <w:t>Roadmap Indicadores por Período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Baseline assessment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IGM, PRAGMATIC scores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Quick Wins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MTTD, Patch %, Phishing click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Strategic initiatives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ALE, FAIR, Vendor audit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 validation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GDPR %, DORA %, NIS2 readiness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2027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Continuous monitoring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Monthly KPI dashboard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 MAPEO</w:t>
      </w:r>
    </w:p>
    <w:p>
      <w:r>
        <w:t>✅ Cada indicador CRM está mapeado a artículos regulatorios específicos</w:t>
      </w:r>
    </w:p>
    <w:p>
      <w:r>
        <w:t>✅ Sanciones potenciales documentadas (€ motivation)</w:t>
      </w:r>
    </w:p>
    <w:p>
      <w:r>
        <w:t>✅ Evidencia requerida clara para auditor</w:t>
      </w:r>
    </w:p>
    <w:p>
      <w:r>
        <w:t>✅ Timeline implementación realista para España 2026</w:t>
      </w:r>
    </w:p>
    <w:p>
      <w:r>
        <w:rPr>
          <w:i/>
        </w:rPr>
        <w:t>Fin Mapeo Indicadores ↔ Requisitos Normativos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