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— MARCOS CONCEPTUALES</w:t>
      </w:r>
    </w:p>
    <w:p>
      <w:pPr>
        <w:pStyle w:val="Heading2"/>
        <w:keepNext/>
        <w:keepLines/>
      </w:pPr>
      <w:r>
        <w:rPr>
          <w:color w:val="0066CC"/>
        </w:rPr>
        <w:t>Context y Justificación de Preguntas Encuesta CRM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Clasificación:</w:t>
      </w:r>
      <w:r>
        <w:t xml:space="preserve"> Público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>Este documento explica el "por qué" de cada pregunta en la encuesta, vinculándola a:</w:t>
      </w:r>
      <w:r/>
      <w:r>
        <w:br/>
        <w:t>- Requerimientos normativos (NIST, ISO, NIS2, GDPR, DORA)</w:t>
      </w:r>
      <w:r/>
      <w:r>
        <w:br/>
        <w:t>- Tendencias 2024-2025</w:t>
      </w:r>
      <w:r/>
      <w:r>
        <w:br/>
        <w:t>- Mejor práctica académica/industria</w:t>
      </w:r>
      <w:r/>
      <w:r>
        <w:br/>
        <w:t>- Impacto financiero directo</w:t>
      </w:r>
    </w:p>
    <w:p>
      <w:pPr>
        <w:pStyle w:val="Heading2"/>
        <w:keepNext/>
        <w:keepLines/>
      </w:pPr>
      <w:r>
        <w:rPr>
          <w:color w:val="0066CC"/>
        </w:rPr>
        <w:t>SECCIÓN 1: GOBERNANZA — Por Qué Es Crítico</w:t>
      </w:r>
    </w:p>
    <w:p>
      <w:pPr>
        <w:pStyle w:val="Heading3"/>
        <w:keepNext/>
        <w:keepLines/>
      </w:pPr>
      <w:r>
        <w:t>Por Qué Importa Gobernanza</w:t>
      </w:r>
    </w:p>
    <w:p>
      <w:r>
        <w:t>NIST CSF 2.0 (febrero 2024) introdujo "Govern" como función core porque:</w:t>
      </w:r>
    </w:p>
    <w:p>
      <w:pPr>
        <w:pStyle w:val="ListNumber"/>
        <w:keepLines w:val="1"/>
        <w:keepNext w:val="1"/>
        <w:widowControl w:val="1"/>
      </w:pPr>
      <w:r>
        <w:t>Regulación vincul: DORA (enero 2025) + NIS2 (españa 2026) ambas requieren governance explícita</w:t>
      </w:r>
    </w:p>
    <w:p>
      <w:pPr>
        <w:pStyle w:val="ListNumber"/>
        <w:keepLines w:val="1"/>
        <w:keepNext w:val="1"/>
        <w:widowControl w:val="1"/>
      </w:pPr>
      <w:r>
        <w:t>No basta controles técnicos; se requiere "tone at the top"</w:t>
      </w:r>
    </w:p>
    <w:p>
      <w:pPr>
        <w:pStyle w:val="ListNumber"/>
        <w:keepLines w:val="1"/>
        <w:keepNext w:val="1"/>
        <w:widowControl w:val="1"/>
      </w:pPr>
      <w:r>
        <w:br/>
        <w:t>Junta debe conocer riesgos ciberseguridad; reportar anual mínimo</w:t>
        <w:br/>
      </w:r>
    </w:p>
    <w:p>
      <w:pPr>
        <w:pStyle w:val="ListNumber"/>
        <w:keepLines w:val="1"/>
        <w:keepNext w:val="1"/>
        <w:widowControl w:val="1"/>
      </w:pPr>
      <w:r>
        <w:br/>
        <w:t>Precedentes breach: Change Healthcare, UnitedHealth, etc. fallaron por falta governance</w:t>
        <w:br/>
      </w:r>
    </w:p>
    <w:p>
      <w:pPr>
        <w:pStyle w:val="ListNumber"/>
        <w:keepLines w:val="1"/>
        <w:keepNext w:val="1"/>
        <w:widowControl w:val="1"/>
      </w:pPr>
      <w:r>
        <w:t>Decisiones riesgo eran ad-hoc; no documentadas</w:t>
      </w:r>
    </w:p>
    <w:p>
      <w:pPr>
        <w:pStyle w:val="ListNumber"/>
        <w:keepLines w:val="1"/>
        <w:keepNext w:val="1"/>
        <w:widowControl w:val="1"/>
      </w:pPr>
      <w:r>
        <w:br/>
        <w:t>Junta no tenía visibilidad</w:t>
        <w:br/>
      </w:r>
    </w:p>
    <w:p>
      <w:pPr>
        <w:pStyle w:val="ListNumber"/>
        <w:keepLines w:val="1"/>
        <w:keepNext w:val="1"/>
        <w:widowControl w:val="1"/>
      </w:pPr>
      <w:r>
        <w:br/>
        <w:t>Valor accionista: Cyberseguridad sin governance = "black hole" presupuesto</w:t>
        <w:br/>
      </w:r>
    </w:p>
    <w:p>
      <w:pPr>
        <w:pStyle w:val="ListNumber"/>
        <w:keepLines w:val="1"/>
        <w:keepNext w:val="1"/>
        <w:widowControl w:val="1"/>
      </w:pPr>
      <w:r>
        <w:t>Imposible justificar inversión ante CFO</w:t>
      </w:r>
    </w:p>
    <w:p>
      <w:pPr>
        <w:pStyle w:val="ListNumber"/>
        <w:keepLines w:val="1"/>
        <w:widowControl w:val="1"/>
      </w:pPr>
      <w:r>
        <w:t>Risk appetite indefinido = gastando en controles innecesarios</w:t>
      </w:r>
    </w:p>
    <w:p>
      <w:r>
        <w:t>Junta debe conocer riesgos ciberseguridad; reportar anual mínimo</w:t>
      </w:r>
    </w:p>
    <w:p>
      <w:r>
        <w:rPr>
          <w:b/>
        </w:rPr>
        <w:t>Precedentes breach</w:t>
      </w:r>
      <w:r>
        <w:t>: Change Healthcare, UnitedHealth, etc. fallaron por falta governance</w:t>
      </w:r>
    </w:p>
    <w:p>
      <w:r>
        <w:t>Junta no tenía visibilidad</w:t>
      </w:r>
    </w:p>
    <w:p>
      <w:r>
        <w:rPr>
          <w:b/>
        </w:rPr>
        <w:t>Valor accionista</w:t>
      </w:r>
      <w:r>
        <w:t>: Cyberseguridad sin governance = "black hole" presupuesto</w:t>
      </w:r>
    </w:p>
    <w:p>
      <w:pPr>
        <w:pStyle w:val="Heading3"/>
        <w:keepNext/>
        <w:keepLines/>
      </w:pPr>
      <w:r>
        <w:t>Preguntas Gobernanza Justificadas</w:t>
      </w:r>
    </w:p>
    <w:p>
      <w:r>
        <w:rPr>
          <w:b/>
        </w:rPr>
        <w:t>Q1.1.1 (RAS documentado):</w:t>
      </w:r>
      <w:r>
        <w:t xml:space="preserve"> Por qué</w:t>
      </w:r>
      <w:r/>
      <w:r>
        <w:br/>
        <w:t xml:space="preserve">- </w:t>
      </w:r>
      <w:r>
        <w:rPr>
          <w:b/>
        </w:rPr>
        <w:t>DORA Art 11</w:t>
      </w:r>
      <w:r>
        <w:t>: "Risk appetite must be documented"</w:t>
      </w:r>
      <w:r/>
      <w:r>
        <w:br/>
        <w:t xml:space="preserve">- </w:t>
      </w:r>
      <w:r>
        <w:rPr>
          <w:b/>
        </w:rPr>
        <w:t>NIS2</w:t>
      </w:r>
      <w:r>
        <w:t>: Requiere governance structures</w:t>
      </w:r>
      <w:r/>
      <w:r>
        <w:br/>
        <w:t xml:space="preserve">- </w:t>
      </w:r>
      <w:r>
        <w:rPr>
          <w:b/>
        </w:rPr>
        <w:t>NIST Govern.RM-2</w:t>
      </w:r>
      <w:r>
        <w:t>: "Board defines risk appetite"</w:t>
      </w:r>
      <w:r/>
      <w:r>
        <w:br/>
        <w:t xml:space="preserve">- </w:t>
      </w:r>
      <w:r>
        <w:rPr>
          <w:b/>
        </w:rPr>
        <w:t>Impacto</w:t>
      </w:r>
      <w:r>
        <w:t>: Orgs sin RAS gastan random; no alignment junta</w:t>
      </w:r>
    </w:p>
    <w:p>
      <w:r>
        <w:rPr>
          <w:b/>
        </w:rPr>
        <w:t>Q1.1.2 (Risk Tolerance umbrales):</w:t>
      </w:r>
      <w:r>
        <w:t xml:space="preserve"> Por qué</w:t>
      </w:r>
      <w:r/>
      <w:r>
        <w:br/>
        <w:t xml:space="preserve">- </w:t>
      </w:r>
      <w:r>
        <w:rPr>
          <w:b/>
        </w:rPr>
        <w:t>Operacionalización</w:t>
      </w:r>
      <w:r>
        <w:t>: RAS es estratégico; tolerancias son tácticas</w:t>
      </w:r>
      <w:r/>
      <w:r>
        <w:br/>
        <w:t xml:space="preserve">- </w:t>
      </w:r>
      <w:r>
        <w:rPr>
          <w:b/>
        </w:rPr>
        <w:t>Ejemplos reales</w:t>
      </w:r>
      <w:r>
        <w:t>:</w:t>
      </w:r>
      <w:r/>
      <w:r>
        <w:br/>
        <w:t xml:space="preserve">  * "Aceptamos &lt;5% phishing click rate; si &gt;5% → escalar"</w:t>
      </w:r>
      <w:r/>
      <w:r>
        <w:br/>
        <w:t xml:space="preserve">  * "MTTD target &lt;2h; si &gt;4h → investigar SOC"</w:t>
      </w:r>
      <w:r/>
      <w:r>
        <w:br/>
        <w:t xml:space="preserve">- </w:t>
      </w:r>
      <w:r>
        <w:rPr>
          <w:b/>
        </w:rPr>
        <w:t>Benefit</w:t>
      </w:r>
      <w:r>
        <w:t>: Decisions claras, sin subjetividad</w:t>
      </w:r>
    </w:p>
    <w:p>
      <w:r>
        <w:rPr>
          <w:b/>
        </w:rPr>
        <w:t>Q1.1.3 (Junta oversight frecuencia):</w:t>
      </w:r>
      <w:r>
        <w:t xml:space="preserve"> Por qué</w:t>
      </w:r>
      <w:r/>
      <w:r>
        <w:br/>
        <w:t xml:space="preserve">- </w:t>
      </w:r>
      <w:r>
        <w:rPr>
          <w:b/>
        </w:rPr>
        <w:t>Board Education Gaps</w:t>
      </w:r>
      <w:r>
        <w:t>: 70% juntas no entienden cyber threats (Verizon DBIR)</w:t>
      </w:r>
      <w:r/>
      <w:r>
        <w:br/>
        <w:t xml:space="preserve">- </w:t>
      </w:r>
      <w:r>
        <w:rPr>
          <w:b/>
        </w:rPr>
        <w:t>Regulatorio</w:t>
      </w:r>
      <w:r>
        <w:t>: DORA exige board oversight; audit reporta hallazgos annually</w:t>
      </w:r>
      <w:r/>
      <w:r>
        <w:br/>
        <w:t xml:space="preserve">- </w:t>
      </w:r>
      <w:r>
        <w:rPr>
          <w:b/>
        </w:rPr>
        <w:t>Precedente</w:t>
      </w:r>
      <w:r>
        <w:t>: NHS breach 2024 → "Junta no sabía gravedad"</w:t>
      </w:r>
    </w:p>
    <w:p>
      <w:pPr>
        <w:pStyle w:val="Heading2"/>
        <w:keepNext/>
        <w:keepLines/>
      </w:pPr>
      <w:r>
        <w:rPr>
          <w:color w:val="0066CC"/>
        </w:rPr>
        <w:t>SECCIÓN 2: CUANTIFICACIÓN — Por Qué FAIR Es Necesario</w:t>
      </w:r>
    </w:p>
    <w:p>
      <w:pPr>
        <w:pStyle w:val="Heading3"/>
        <w:keepNext/>
        <w:keepLines/>
      </w:pPr>
      <w:r>
        <w:t>Por Qué Importa Cuantificación Monetaria</w:t>
      </w:r>
    </w:p>
    <w:p>
      <w:r>
        <w:rPr>
          <w:b/>
        </w:rPr>
        <w:t>Contexto:</w:t>
      </w:r>
      <w:r/>
      <w:r>
        <w:br/>
        <w:t>- CFO habla €/$ ; CISO habla "riesgo"</w:t>
      </w:r>
      <w:r/>
      <w:r>
        <w:br/>
        <w:t>- Brecha comunicación = presupuesto bajo, decisiones pobres</w:t>
      </w:r>
    </w:p>
    <w:p>
      <w:r>
        <w:rPr>
          <w:b/>
        </w:rPr>
        <w:t>Problema: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CISO: "Necesitamos EDR; es crítico"</w:t>
        <w:br/>
        <w:t>CFO: "Cuesta €200K. Justificación?"</w:t>
        <w:br/>
        <w:t>CISO: "Porque sí. Threat landscape."</w:t>
        <w:br/>
        <w:t>CFO: "No convence. Presupuesto denegado."</w:t>
        <w:br/>
      </w:r>
    </w:p>
    <w:p>
      <w:r>
        <w:rPr>
          <w:b/>
        </w:rPr>
        <w:t>Con FAIR: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CISO: "Ransomware ALE = €5M/año. EDR cuesta €200K, reduce ALE 40% (€2M ahorro)"</w:t>
        <w:br/>
        <w:t>CFO: "ROI = 10:1. Aprobado en el acto."</w:t>
        <w:br/>
      </w:r>
    </w:p>
    <w:p>
      <w:pPr>
        <w:pStyle w:val="Heading3"/>
        <w:keepNext/>
        <w:keepLines/>
      </w:pPr>
      <w:r>
        <w:t>Preguntas Cuantificación Justificadas</w:t>
      </w:r>
    </w:p>
    <w:p>
      <w:r>
        <w:rPr>
          <w:b/>
        </w:rPr>
        <w:t>Q2.1.1 (FAIR adoption):</w:t>
      </w:r>
      <w:r>
        <w:t xml:space="preserve"> Por qué</w:t>
      </w:r>
      <w:r/>
      <w:r>
        <w:br/>
        <w:t xml:space="preserve">- </w:t>
      </w:r>
      <w:r>
        <w:rPr>
          <w:b/>
        </w:rPr>
        <w:t>Standard de-facto</w:t>
      </w:r>
      <w:r>
        <w:t>: 60%+ Fortune 500 usan FAIR</w:t>
      </w:r>
      <w:r/>
      <w:r>
        <w:br/>
        <w:t xml:space="preserve">- </w:t>
      </w:r>
      <w:r>
        <w:rPr>
          <w:b/>
        </w:rPr>
        <w:t>Regulatorio</w:t>
      </w:r>
      <w:r>
        <w:t>: CNMV (España) recommends FAIR para sector financiero</w:t>
      </w:r>
      <w:r/>
      <w:r>
        <w:br/>
        <w:t xml:space="preserve">- </w:t>
      </w:r>
      <w:r>
        <w:rPr>
          <w:b/>
        </w:rPr>
        <w:t>ROI</w:t>
      </w:r>
      <w:r>
        <w:t>: Orgs que adoptan FAIR 2-3x más efectivas control prioritization</w:t>
      </w:r>
    </w:p>
    <w:p>
      <w:r>
        <w:rPr>
          <w:b/>
        </w:rPr>
        <w:t>Q2.1.2 (Top 5 riesgos cuantificados):</w:t>
      </w:r>
      <w:r>
        <w:t xml:space="preserve"> Por qué</w:t>
      </w:r>
      <w:r/>
      <w:r>
        <w:br/>
        <w:t xml:space="preserve">- </w:t>
      </w:r>
      <w:r>
        <w:rPr>
          <w:b/>
        </w:rPr>
        <w:t>Visibility test</w:t>
      </w:r>
      <w:r>
        <w:t>: Si no puedes cuantificar top 5 riesgos, no los entiendes realmente</w:t>
      </w:r>
      <w:r/>
      <w:r>
        <w:br/>
        <w:t xml:space="preserve">- </w:t>
      </w:r>
      <w:r>
        <w:rPr>
          <w:b/>
        </w:rPr>
        <w:t>Benchmark</w:t>
      </w:r>
      <w:r>
        <w:t>: FAIR Institute: &lt;30% organizations pueden</w:t>
      </w:r>
    </w:p>
    <w:p>
      <w:r>
        <w:rPr>
          <w:b/>
        </w:rPr>
        <w:t>Q2.1.3 (ROI analysis for controls):</w:t>
      </w:r>
      <w:r>
        <w:t xml:space="preserve"> Por qué</w:t>
      </w:r>
      <w:r/>
      <w:r>
        <w:br/>
        <w:t xml:space="preserve">- </w:t>
      </w:r>
      <w:r>
        <w:rPr>
          <w:b/>
        </w:rPr>
        <w:t>Budget allocation</w:t>
      </w:r>
      <w:r>
        <w:t>: Control decisiones deben ser ROI-based, no "gut feel"</w:t>
      </w:r>
      <w:r/>
      <w:r>
        <w:br/>
        <w:t xml:space="preserve">- </w:t>
      </w:r>
      <w:r>
        <w:rPr>
          <w:b/>
        </w:rPr>
        <w:t>Audit evidence</w:t>
      </w:r>
      <w:r>
        <w:t>: SOX, GDPR, NIS2 audits exigen documentación inversión decisions</w:t>
      </w:r>
    </w:p>
    <w:p>
      <w:pPr>
        <w:pStyle w:val="Heading2"/>
        <w:keepNext/>
        <w:keepLines/>
      </w:pPr>
      <w:r>
        <w:rPr>
          <w:color w:val="0066CC"/>
        </w:rPr>
        <w:t>SECCIÓN 3: THREAT MODELING — Por Qué Operacional</w:t>
      </w:r>
    </w:p>
    <w:p>
      <w:pPr>
        <w:pStyle w:val="Heading3"/>
        <w:keepNext/>
        <w:keepLines/>
      </w:pPr>
      <w:r>
        <w:t>Por Qué Importa Threat Modeling</w:t>
      </w:r>
    </w:p>
    <w:p>
      <w:r>
        <w:rPr>
          <w:b/>
        </w:rPr>
        <w:t>Contexto:</w:t>
      </w:r>
      <w:r/>
      <w:r>
        <w:br/>
        <w:t>- Vulnerabilidades ≠ Threats</w:t>
      </w:r>
      <w:r/>
      <w:r>
        <w:br/>
        <w:t>- Vulnerable ≠ Explotable</w:t>
      </w:r>
      <w:r/>
      <w:r>
        <w:br/>
        <w:t>- Explotable ≠ Probable</w:t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Sistema tiene CVE-2025-1234 (CVSS 9.8 crítico)</w:t>
        <w:br/>
        <w:t>Pero:</w:t>
        <w:br/>
        <w:t xml:space="preserve">  - Requiere local access (no remoto) → riesgo reducido</w:t>
        <w:br/>
        <w:t xml:space="preserve">  - Mitigado por WAF → attack path blocked</w:t>
        <w:br/>
        <w:t xml:space="preserve">  - Atacante motivation baja → probabilidad baja</w:t>
        <w:br/>
        <w:br/>
        <w:t>Conclusión: Baja prioridad vs apariencia crítica</w:t>
        <w:br/>
      </w:r>
    </w:p>
    <w:p>
      <w:r>
        <w:rPr>
          <w:b/>
        </w:rPr>
        <w:t>PASTA Framework:</w:t>
      </w:r>
      <w:r>
        <w:t xml:space="preserve"> Valida esto mediante attack trees, PoC, probabilidades</w:t>
      </w:r>
    </w:p>
    <w:p>
      <w:pPr>
        <w:pStyle w:val="Heading3"/>
        <w:keepNext/>
        <w:keepLines/>
      </w:pPr>
      <w:r>
        <w:t>Preguntas Threat Modeling Justificadas</w:t>
      </w:r>
    </w:p>
    <w:p>
      <w:r>
        <w:rPr>
          <w:b/>
        </w:rPr>
        <w:t>Q3.1.1-3.1.3:</w:t>
      </w:r>
      <w:r>
        <w:t xml:space="preserve"> Por qué</w:t>
      </w:r>
      <w:r/>
      <w:r>
        <w:br/>
        <w:t xml:space="preserve">- </w:t>
      </w:r>
      <w:r>
        <w:rPr>
          <w:b/>
        </w:rPr>
        <w:t>Validación Vulnerabilities</w:t>
      </w:r>
      <w:r>
        <w:t>: Sin threat modeling, patching es aleatorio</w:t>
      </w:r>
      <w:r/>
      <w:r>
        <w:br/>
        <w:t xml:space="preserve">- </w:t>
      </w:r>
      <w:r>
        <w:rPr>
          <w:b/>
        </w:rPr>
        <w:t>Effectiveness</w:t>
      </w:r>
      <w:r>
        <w:t>: Orgs con PASTA vs sin: 50% menos vulnerabilidades explotadas</w:t>
      </w:r>
      <w:r/>
      <w:r>
        <w:br/>
        <w:t xml:space="preserve">- </w:t>
      </w:r>
      <w:r>
        <w:rPr>
          <w:b/>
        </w:rPr>
        <w:t>Impacto</w:t>
      </w:r>
      <w:r>
        <w:t>: Change Healthcare breach = "vulnerable pero explotada"; PASTA lo habría detectado</w:t>
      </w:r>
    </w:p>
    <w:p>
      <w:pPr>
        <w:pStyle w:val="Heading2"/>
        <w:keepNext/>
        <w:keepLines/>
      </w:pPr>
      <w:r>
        <w:rPr>
          <w:color w:val="0066CC"/>
        </w:rPr>
        <w:t>SECCIÓN 4: MÉTRICAS SOC — Por Qué MTTD/MTTR Importa</w:t>
      </w:r>
    </w:p>
    <w:p>
      <w:pPr>
        <w:pStyle w:val="Heading3"/>
        <w:keepNext/>
        <w:keepLines/>
      </w:pPr>
      <w:r>
        <w:t>Por Qué MTTD/MTTR Son KPIs Clave</w:t>
      </w:r>
    </w:p>
    <w:p>
      <w:r>
        <w:rPr>
          <w:b/>
        </w:rPr>
        <w:t>Correlación Empírica (IBM Breach Cost 2024):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MTTD reducción 200 días → 50 días  →  Costo breach ↓ 27%</w:t>
        <w:br/>
        <w:t>MTTR reducción 120 horas → 24 horas  →  Costo breach ↓ 40%</w:t>
        <w:br/>
      </w:r>
    </w:p>
    <w:p>
      <w:r>
        <w:rPr>
          <w:b/>
        </w:rPr>
        <w:t>Causación:</w:t>
      </w:r>
      <w:r/>
      <w:r>
        <w:br/>
        <w:t>- Detección rápida = menos tiempo atacante lateral movement</w:t>
      </w:r>
      <w:r/>
      <w:r>
        <w:br/>
        <w:t>- Respuesta rápida = menos datos exfiltrados</w:t>
      </w:r>
      <w:r/>
      <w:r>
        <w:br/>
        <w:t>- Menos datos = costo breach menor</w:t>
      </w:r>
    </w:p>
    <w:p>
      <w:pPr>
        <w:pStyle w:val="Heading3"/>
        <w:keepNext/>
        <w:keepLines/>
      </w:pPr>
      <w:r>
        <w:t>Preguntas SOC Justificadas</w:t>
      </w:r>
    </w:p>
    <w:p>
      <w:r>
        <w:rPr>
          <w:b/>
        </w:rPr>
        <w:t>Q4.1.1-4.1.3:</w:t>
      </w:r>
      <w:r>
        <w:t xml:space="preserve"> Por qué</w:t>
      </w:r>
      <w:r/>
      <w:r>
        <w:br/>
        <w:t xml:space="preserve">- </w:t>
      </w:r>
      <w:r>
        <w:rPr>
          <w:b/>
        </w:rPr>
        <w:t>Audit requirement</w:t>
      </w:r>
      <w:r>
        <w:t>: DORA "incident response procedures must demonstrate &lt;X hours"</w:t>
      </w:r>
      <w:r/>
      <w:r>
        <w:br/>
        <w:t xml:space="preserve">- </w:t>
      </w:r>
      <w:r>
        <w:rPr>
          <w:b/>
        </w:rPr>
        <w:t>Benchmarking</w:t>
      </w:r>
      <w:r>
        <w:t>: 30 min - 4 horas MTTD es "good" vs España baseline 48-72h</w:t>
      </w:r>
      <w:r/>
      <w:r>
        <w:br/>
        <w:t xml:space="preserve">- </w:t>
      </w:r>
      <w:r>
        <w:rPr>
          <w:b/>
        </w:rPr>
        <w:t>Business impact</w:t>
      </w:r>
      <w:r>
        <w:t>: Fast response = competitive advantage</w:t>
      </w:r>
    </w:p>
    <w:p>
      <w:pPr>
        <w:pStyle w:val="Heading2"/>
        <w:keepNext/>
        <w:keepLines/>
      </w:pPr>
      <w:r>
        <w:rPr>
          <w:color w:val="0066CC"/>
        </w:rPr>
        <w:t>SECCIÓN 5: VULNERABILIDADES — Por Qué SLA Crítico</w:t>
      </w:r>
    </w:p>
    <w:p>
      <w:pPr>
        <w:pStyle w:val="Heading3"/>
        <w:keepNext/>
        <w:keepLines/>
      </w:pPr>
      <w:r>
        <w:t>Por Qué Importa Patching Velocity</w:t>
      </w:r>
    </w:p>
    <w:p>
      <w:r>
        <w:rPr>
          <w:b/>
        </w:rPr>
        <w:t>Precedentes:</w:t>
      </w:r>
      <w:r/>
      <w:r>
        <w:br/>
        <w:t>- Equifax breach (2017): Conocida vulnerability no parcheada durante 76 días → 143M personas</w:t>
      </w:r>
      <w:r/>
      <w:r>
        <w:br/>
        <w:t>- Log4j (2021): Critical vulnerability descubierta → 10+ días antes widespread patches</w:t>
      </w:r>
      <w:r/>
      <w:r>
        <w:br/>
        <w:t>- MOVEit (2023): Parches tardíos → 2.000+ organizaciones comprometidas</w:t>
      </w:r>
    </w:p>
    <w:p>
      <w:r>
        <w:rPr>
          <w:b/>
        </w:rPr>
        <w:t>Requerimiento regulatorio:</w:t>
      </w:r>
      <w:r/>
      <w:r>
        <w:br/>
        <w:t xml:space="preserve">- </w:t>
      </w:r>
      <w:r>
        <w:rPr>
          <w:b/>
        </w:rPr>
        <w:t>NIS2</w:t>
      </w:r>
      <w:r>
        <w:t>: "Vulnerabilities parchadas within appropriate timeframe"</w:t>
      </w:r>
      <w:r/>
      <w:r>
        <w:br/>
        <w:t xml:space="preserve">- </w:t>
      </w:r>
      <w:r>
        <w:rPr>
          <w:b/>
        </w:rPr>
        <w:t>DORA</w:t>
      </w:r>
      <w:r>
        <w:t>: "Patch management SLA documentado"</w:t>
      </w:r>
      <w:r/>
      <w:r>
        <w:br/>
        <w:t xml:space="preserve">- </w:t>
      </w:r>
      <w:r>
        <w:rPr>
          <w:b/>
        </w:rPr>
        <w:t>ISO 27001</w:t>
      </w:r>
      <w:r>
        <w:t>: "Timely" patches</w:t>
      </w:r>
    </w:p>
    <w:p>
      <w:pPr>
        <w:pStyle w:val="Heading3"/>
        <w:keepNext/>
        <w:keepLines/>
      </w:pPr>
      <w:r>
        <w:t>Preguntas Vulnerabilidades Justificadas</w:t>
      </w:r>
    </w:p>
    <w:p>
      <w:r>
        <w:rPr>
          <w:b/>
        </w:rPr>
        <w:t>Q5.1.2 (Patch SLA para críticos):</w:t>
      </w:r>
      <w:r/>
      <w:r>
        <w:br/>
        <w:t xml:space="preserve">- </w:t>
      </w:r>
      <w:r>
        <w:rPr>
          <w:b/>
        </w:rPr>
        <w:t>Target</w:t>
      </w:r>
      <w:r>
        <w:t>: &lt;7 días (mejor práctica); &lt;30 días (aceptable)</w:t>
      </w:r>
      <w:r/>
      <w:r>
        <w:br/>
        <w:t xml:space="preserve">- </w:t>
      </w:r>
      <w:r>
        <w:rPr>
          <w:b/>
        </w:rPr>
        <w:t>Realidad España</w:t>
      </w:r>
      <w:r>
        <w:t>: 60-90 días común → regulatorio risk</w:t>
      </w:r>
    </w:p>
    <w:p>
      <w:r>
        <w:rPr>
          <w:b/>
        </w:rPr>
        <w:t>Q5.1.3 (CVSS v4.0 adoption):</w:t>
      </w:r>
      <w:r/>
      <w:r>
        <w:br/>
        <w:t xml:space="preserve">- </w:t>
      </w:r>
      <w:r>
        <w:rPr>
          <w:b/>
        </w:rPr>
        <w:t>Lanzado junio 2024</w:t>
      </w:r>
      <w:r>
        <w:t>: Versión actual; v3.1 ya "legacy"</w:t>
      </w:r>
      <w:r/>
      <w:r>
        <w:br/>
        <w:t xml:space="preserve">- </w:t>
      </w:r>
      <w:r>
        <w:rPr>
          <w:b/>
        </w:rPr>
        <w:t>NIST mandate</w:t>
      </w:r>
      <w:r>
        <w:t>: CVSS v3.1 deprecating 2026; v4.0 mandatory 2026</w:t>
      </w:r>
    </w:p>
    <w:p>
      <w:pPr>
        <w:pStyle w:val="Heading2"/>
        <w:keepNext/>
        <w:keepLines/>
      </w:pPr>
      <w:r>
        <w:rPr>
          <w:color w:val="0066CC"/>
        </w:rPr>
        <w:t>SECCIÓN 6: SUPPLY CHAIN — Por Qué Terceros Son Nuevo Perimeter</w:t>
      </w:r>
    </w:p>
    <w:p>
      <w:pPr>
        <w:pStyle w:val="Heading3"/>
        <w:keepNext/>
        <w:keepLines/>
      </w:pPr>
      <w:r>
        <w:t>Por Qué Importa Supply Chain</w:t>
      </w:r>
    </w:p>
    <w:p>
      <w:r>
        <w:rPr>
          <w:b/>
        </w:rPr>
        <w:t>Realidad:</w:t>
      </w:r>
      <w:r/>
      <w:r>
        <w:br/>
        <w:t>- 50% de breaches ahora via third-party</w:t>
      </w:r>
      <w:r/>
      <w:r>
        <w:br/>
        <w:t>- SolarWinds, Kaseya, CCleaner = ejemplos $B+ impact</w:t>
      </w:r>
      <w:r/>
      <w:r>
        <w:br/>
        <w:t xml:space="preserve">- </w:t>
      </w:r>
      <w:r>
        <w:rPr>
          <w:b/>
        </w:rPr>
        <w:t>Precedente 2024</w:t>
      </w:r>
      <w:r>
        <w:t>: Change Healthcare = third-party ransomware → $2.87B</w:t>
      </w:r>
    </w:p>
    <w:p>
      <w:r>
        <w:rPr>
          <w:b/>
        </w:rPr>
        <w:t>Regulatorio:</w:t>
      </w:r>
      <w:r/>
      <w:r>
        <w:br/>
        <w:t xml:space="preserve">- </w:t>
      </w:r>
      <w:r>
        <w:rPr>
          <w:b/>
        </w:rPr>
        <w:t>DORA Art 29</w:t>
      </w:r>
      <w:r>
        <w:t>: "Manage ICT third-party concentration risk"</w:t>
      </w:r>
      <w:r/>
      <w:r>
        <w:br/>
        <w:t xml:space="preserve">- </w:t>
      </w:r>
      <w:r>
        <w:rPr>
          <w:b/>
        </w:rPr>
        <w:t>NIS2 GV.SC</w:t>
      </w:r>
      <w:r>
        <w:t>: "Supply chain risk assessment"</w:t>
      </w:r>
      <w:r/>
      <w:r>
        <w:br/>
        <w:t xml:space="preserve">- </w:t>
      </w:r>
      <w:r>
        <w:rPr>
          <w:b/>
        </w:rPr>
        <w:t>GDPR Art 28</w:t>
      </w:r>
      <w:r>
        <w:t>: "Data processor security requirements"</w:t>
      </w:r>
    </w:p>
    <w:p>
      <w:pPr>
        <w:pStyle w:val="Heading3"/>
        <w:keepNext/>
        <w:keepLines/>
      </w:pPr>
      <w:r>
        <w:t>Preguntas Supply Chain Justificadas</w:t>
      </w:r>
    </w:p>
    <w:p>
      <w:r>
        <w:rPr>
          <w:b/>
        </w:rPr>
        <w:t>Q6.1.1-6.1.3:</w:t>
      </w:r>
      <w:r>
        <w:t xml:space="preserve"> Por qué</w:t>
      </w:r>
      <w:r/>
      <w:r>
        <w:br/>
        <w:t xml:space="preserve">- </w:t>
      </w:r>
      <w:r>
        <w:rPr>
          <w:b/>
        </w:rPr>
        <w:t>SBOM</w:t>
      </w:r>
      <w:r>
        <w:t>ahora standard (EU CRA, US EO 14028)</w:t>
      </w:r>
      <w:r/>
      <w:r>
        <w:br/>
        <w:t xml:space="preserve">- </w:t>
      </w:r>
      <w:r>
        <w:rPr>
          <w:b/>
        </w:rPr>
        <w:t>Vendor audit</w:t>
      </w:r>
      <w:r>
        <w:t>: No confiar vendor self-reporting; auditar anual</w:t>
      </w:r>
      <w:r/>
      <w:r>
        <w:br/>
        <w:t xml:space="preserve">- </w:t>
      </w:r>
      <w:r>
        <w:rPr>
          <w:b/>
        </w:rPr>
        <w:t>Contract leverage</w:t>
      </w:r>
      <w:r>
        <w:t>: Sin requisitos ciberseguridad en contrato = sin compliance enforcement</w:t>
      </w:r>
    </w:p>
    <w:p>
      <w:pPr>
        <w:pStyle w:val="Heading2"/>
        <w:keepNext/>
        <w:keepLines/>
      </w:pPr>
      <w:r>
        <w:rPr>
          <w:color w:val="0066CC"/>
        </w:rPr>
        <w:t>SECCIÓN 7: AWARENESS — Por Qué ROI Comprobado</w:t>
      </w:r>
    </w:p>
    <w:p>
      <w:pPr>
        <w:pStyle w:val="Heading3"/>
        <w:keepNext/>
        <w:keepLines/>
      </w:pPr>
      <w:r>
        <w:t>Por Qué Importa Training &amp; ROI</w:t>
      </w:r>
    </w:p>
    <w:p>
      <w:r>
        <w:rPr>
          <w:b/>
        </w:rPr>
        <w:t>Estadísticas:</w:t>
      </w:r>
      <w:r/>
      <w:r>
        <w:br/>
        <w:t>- 88% de breaches causados human error / social engineering</w:t>
      </w:r>
      <w:r/>
      <w:r>
        <w:br/>
        <w:t>- Phishing click rate promedio: 3-15% (antes training)</w:t>
      </w:r>
      <w:r/>
      <w:r>
        <w:br/>
        <w:t>- Post-training: 4-6% (después 12 meses)</w:t>
      </w:r>
    </w:p>
    <w:p>
      <w:r>
        <w:rPr>
          <w:b/>
        </w:rPr>
        <w:t>ROI:</w:t>
      </w:r>
      <w:r/>
      <w:r>
        <w:br/>
        <w:t>- Training costo: €50-100/empleado/año</w:t>
      </w:r>
      <w:r/>
      <w:r>
        <w:br/>
        <w:t>- Avoided breach: €10M average</w:t>
      </w:r>
      <w:r/>
      <w:r>
        <w:br/>
        <w:t>- ROI: 100:1 típico</w:t>
      </w:r>
    </w:p>
    <w:p>
      <w:pPr>
        <w:pStyle w:val="Heading3"/>
        <w:keepNext/>
        <w:keepLines/>
      </w:pPr>
      <w:r>
        <w:t>Preguntas Awareness Justificadas</w:t>
      </w:r>
    </w:p>
    <w:p>
      <w:r>
        <w:rPr>
          <w:b/>
        </w:rPr>
        <w:t>Q7.1.1-7.1.4:</w:t>
      </w:r>
      <w:r/>
      <w:r>
        <w:br/>
        <w:t xml:space="preserve">- </w:t>
      </w:r>
      <w:r>
        <w:rPr>
          <w:b/>
        </w:rPr>
        <w:t>Mandatory training</w:t>
      </w:r>
      <w:r>
        <w:t>: GDPR Art 32 "security awareness"</w:t>
      </w:r>
      <w:r/>
      <w:r>
        <w:br/>
        <w:t xml:space="preserve">- </w:t>
      </w:r>
      <w:r>
        <w:rPr>
          <w:b/>
        </w:rPr>
        <w:t>Phishing ROI</w:t>
      </w:r>
      <w:r>
        <w:t>: Alta click rate = priority improvement</w:t>
      </w:r>
      <w:r/>
      <w:r>
        <w:br/>
        <w:t xml:space="preserve">- </w:t>
      </w:r>
      <w:r>
        <w:rPr>
          <w:b/>
        </w:rPr>
        <w:t>Reporting rate</w:t>
      </w:r>
      <w:r>
        <w:t>: &gt;20% significa employees son "security partners"</w:t>
      </w:r>
    </w:p>
    <w:p>
      <w:pPr>
        <w:pStyle w:val="Heading2"/>
        <w:keepNext/>
        <w:keepLines/>
      </w:pPr>
      <w:r>
        <w:rPr>
          <w:color w:val="0066CC"/>
        </w:rPr>
        <w:t>SECCIÓN 8: COMPLIANCE — Por Qué Multi-Regulatorio</w:t>
      </w:r>
    </w:p>
    <w:p>
      <w:pPr>
        <w:pStyle w:val="Heading3"/>
        <w:keepNext/>
        <w:keepLines/>
      </w:pPr>
      <w:r>
        <w:t>Por Qué Compliance Multi-Frame</w:t>
      </w:r>
    </w:p>
    <w:p>
      <w:r>
        <w:rPr>
          <w:b/>
        </w:rPr>
        <w:t>Realidad España 2026:</w:t>
      </w:r>
      <w:r/>
      <w:r>
        <w:br/>
        <w:t>- GDPR (desde 2018, vigente)</w:t>
      </w:r>
      <w:r/>
      <w:r>
        <w:br/>
        <w:t>- DORA (desde enero 2025, vigente sector financiero)</w:t>
      </w:r>
      <w:r/>
      <w:r>
        <w:br/>
        <w:t>- NIS2 (españa ~Q1 2026, aplicable)</w:t>
      </w:r>
    </w:p>
    <w:p>
      <w:r>
        <w:rPr>
          <w:b/>
        </w:rPr>
        <w:t>Overlap pero diferente: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Privacy (datos personales)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 32 security measures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Financial Operational Resilience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RTO/RPO &lt;4h críticos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NIS2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Cybersecurity (todos sectores)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Managed risk; incident reporting 24h</w:t>
            </w:r>
          </w:p>
        </w:tc>
      </w:tr>
    </w:tbl>
    <w:p/>
    <w:p>
      <w:r>
        <w:rPr>
          <w:b/>
        </w:rPr>
        <w:t>Orgs deben cumplir todas three simultáneamente (overlap mandates)</w:t>
      </w:r>
    </w:p>
    <w:p>
      <w:pPr>
        <w:pStyle w:val="Heading3"/>
        <w:keepNext/>
        <w:keepLines/>
      </w:pPr>
      <w:r>
        <w:t>Preguntas Compliance Justificadas</w:t>
      </w:r>
    </w:p>
    <w:p>
      <w:r>
        <w:rPr>
          <w:b/>
        </w:rPr>
        <w:t>Q8.1.1-8.1.3:</w:t>
      </w:r>
      <w:r>
        <w:t xml:space="preserve"> Por qué</w:t>
      </w:r>
      <w:r/>
      <w:r>
        <w:br/>
        <w:t xml:space="preserve">- </w:t>
      </w:r>
      <w:r>
        <w:rPr>
          <w:b/>
        </w:rPr>
        <w:t>Cada regulación score different</w:t>
      </w:r>
      <w:r/>
      <w:r>
        <w:br/>
        <w:t xml:space="preserve">- </w:t>
      </w:r>
      <w:r>
        <w:rPr>
          <w:b/>
        </w:rPr>
        <w:t>Audit findings</w:t>
      </w:r>
      <w:r>
        <w:t>: Falta compliance = sanciones €10M+</w:t>
      </w:r>
      <w:r/>
      <w:r>
        <w:br/>
        <w:t xml:space="preserve">- </w:t>
      </w:r>
      <w:r>
        <w:rPr>
          <w:b/>
        </w:rPr>
        <w:t>NIST CSF 2.0</w:t>
      </w:r>
      <w:r>
        <w:t>: Framework alineado con todas three</w:t>
      </w:r>
    </w:p>
    <w:p>
      <w:pPr>
        <w:pStyle w:val="Heading2"/>
        <w:keepNext/>
        <w:keepLines/>
      </w:pPr>
      <w:r>
        <w:rPr>
          <w:color w:val="0066CC"/>
        </w:rPr>
        <w:t>SECCIÓN 9: AUTOMATIZACIÓN — Por Qué Código&gt;Manual</w:t>
      </w:r>
    </w:p>
    <w:p>
      <w:pPr>
        <w:pStyle w:val="Heading3"/>
        <w:keepNext/>
        <w:keepLines/>
      </w:pPr>
      <w:r>
        <w:t>Por Qué Importa Policy-as-Code</w:t>
      </w:r>
    </w:p>
    <w:p>
      <w:r>
        <w:rPr>
          <w:b/>
        </w:rPr>
        <w:t>Contexto:</w:t>
      </w:r>
      <w:r/>
      <w:r>
        <w:br/>
        <w:t>- Manual policy enforcement = scalability issue</w:t>
      </w:r>
      <w:r/>
      <w:r>
        <w:br/>
        <w:t>- 80% tiempo audit = validar compliance (auditable vs non-auditable)</w:t>
      </w:r>
      <w:r/>
      <w:r>
        <w:br/>
        <w:t>- Policy-as-Code = automatizado → auditable siempre</w:t>
      </w:r>
    </w:p>
    <w:p>
      <w:r>
        <w:rPr>
          <w:b/>
        </w:rPr>
        <w:t>Beneficio:</w:t>
      </w:r>
      <w:r/>
      <w:r>
        <w:br/>
        <w:t>- Deployment rápido (minutos vs días)</w:t>
      </w:r>
      <w:r/>
      <w:r>
        <w:br/>
        <w:t>- Compliance continuous (no quarterly audit)</w:t>
      </w:r>
      <w:r/>
      <w:r>
        <w:br/>
        <w:t>- Drift detection (cambios no autorizados alertados inmediatamente)</w:t>
      </w:r>
    </w:p>
    <w:p>
      <w:pPr>
        <w:pStyle w:val="Heading3"/>
        <w:keepNext/>
        <w:keepLines/>
      </w:pPr>
      <w:r>
        <w:t>Preguntas Automatización Justificadas</w:t>
      </w:r>
    </w:p>
    <w:p>
      <w:r>
        <w:rPr>
          <w:b/>
        </w:rPr>
        <w:t>Q9.1.1-9.2.3:</w:t>
      </w:r>
      <w:r/>
      <w:r>
        <w:br/>
        <w:t xml:space="preserve">- </w:t>
      </w:r>
      <w:r>
        <w:rPr>
          <w:b/>
        </w:rPr>
        <w:t>Policy-as-Code</w:t>
      </w:r>
      <w:r>
        <w:t>: Future-proof compliance</w:t>
      </w:r>
      <w:r/>
      <w:r>
        <w:br/>
        <w:t xml:space="preserve">- </w:t>
      </w:r>
      <w:r>
        <w:rPr>
          <w:b/>
        </w:rPr>
        <w:t>IaC</w:t>
      </w:r>
      <w:r>
        <w:t>: Reproducibility, versioning, auditability</w:t>
      </w:r>
      <w:r/>
      <w:r>
        <w:br/>
        <w:t xml:space="preserve">- </w:t>
      </w:r>
      <w:r>
        <w:rPr>
          <w:b/>
        </w:rPr>
        <w:t>Chaos Engineering</w:t>
      </w:r>
      <w:r>
        <w:t>: Validación RTO/RPO real (no teórico)</w:t>
      </w:r>
    </w:p>
    <w:p>
      <w:pPr>
        <w:pStyle w:val="Heading2"/>
        <w:keepNext/>
        <w:keepLines/>
      </w:pPr>
      <w:r>
        <w:rPr>
          <w:color w:val="0066CC"/>
        </w:rPr>
        <w:t>CONCLUSIÓN NARRATIVA</w:t>
      </w:r>
    </w:p>
    <w:p>
      <w:r>
        <w:t>La encuesta no es "checkbox exercise". Cada pregunta mapea a:</w:t>
      </w:r>
    </w:p>
    <w:p>
      <w:r>
        <w:t xml:space="preserve">✓ </w:t>
      </w:r>
      <w:r>
        <w:rPr>
          <w:b/>
        </w:rPr>
        <w:t>Regulatorio</w:t>
      </w:r>
      <w:r>
        <w:t xml:space="preserve"> (GDPR, DORA, NIS2)</w:t>
      </w:r>
      <w:r/>
      <w:r>
        <w:br/>
        <w:t xml:space="preserve">✓ </w:t>
      </w:r>
      <w:r>
        <w:rPr>
          <w:b/>
        </w:rPr>
        <w:t>Mejor Práctica</w:t>
      </w:r>
      <w:r>
        <w:t xml:space="preserve"> (NIST, ISO, FAIR, PASTA)</w:t>
      </w:r>
      <w:r/>
      <w:r>
        <w:br/>
        <w:t xml:space="preserve">✓ </w:t>
      </w:r>
      <w:r>
        <w:rPr>
          <w:b/>
        </w:rPr>
        <w:t>Impacto Financiero</w:t>
      </w:r>
      <w:r>
        <w:t xml:space="preserve"> (ROI, ALE, costo breach)</w:t>
      </w:r>
      <w:r/>
      <w:r>
        <w:br/>
        <w:t xml:space="preserve">✓ </w:t>
      </w:r>
      <w:r>
        <w:rPr>
          <w:b/>
        </w:rPr>
        <w:t>Vulnerabilidad Real</w:t>
      </w:r>
      <w:r>
        <w:t xml:space="preserve"> (precedentes 2024)</w:t>
      </w:r>
    </w:p>
    <w:p>
      <w:r>
        <w:rPr>
          <w:b/>
        </w:rPr>
        <w:t>Objetivo:</w:t>
      </w:r>
      <w:r>
        <w:t xml:space="preserve"> Transformar responses cuantitativas → roadmap estratégico → inversiones justificadas.</w:t>
      </w:r>
    </w:p>
    <w:p>
      <w:r>
        <w:rPr>
          <w:i/>
        </w:rPr>
        <w:t>Fin Narrativa Explicativa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