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MAPEO DETALLADO: MÉTRICAS → REQUISITOS NORMATIVOS DORA</w:t>
      </w:r>
    </w:p>
    <w:p>
      <w:pPr>
        <w:pStyle w:val="Heading2"/>
        <w:keepNext/>
        <w:keepLines/>
      </w:pPr>
      <w:r>
        <w:rPr>
          <w:color w:val="0066CC"/>
        </w:rPr>
        <w:t>Matriz Trazabilidad Indicadores a Artículos DORA</w:t>
      </w:r>
    </w:p>
    <w:p>
      <w:r>
        <w:rPr>
          <w:b/>
        </w:rPr>
        <w:t>Versión:</w:t>
      </w:r>
      <w:r>
        <w:t xml:space="preserve"> 1.0</w:t>
      </w:r>
      <w:r/>
      <w:r>
        <w:br/>
      </w:r>
      <w:r>
        <w:rPr>
          <w:b/>
        </w:rPr>
        <w:t>Fecha:</w:t>
      </w:r>
      <w:r>
        <w:t xml:space="preserve"> Enero 2026</w:t>
      </w:r>
      <w:r/>
      <w:r>
        <w:br/>
      </w:r>
      <w:r>
        <w:rPr>
          <w:b/>
        </w:rPr>
        <w:t>Clasificación:</w:t>
      </w:r>
      <w:r>
        <w:t xml:space="preserve"> Profesional — Marco de Cumplimiento Normativo</w:t>
      </w:r>
      <w:r/>
      <w:r>
        <w:br/>
      </w:r>
      <w:r>
        <w:rPr>
          <w:b/>
        </w:rPr>
        <w:t>Aplicabilidad:</w:t>
      </w:r>
      <w:r>
        <w:t xml:space="preserve"> España, Instituciones Financieras, Regulación DORA (EU 2022/2554)  </w:t>
      </w:r>
    </w:p>
    <w:p>
      <w:pPr>
        <w:pStyle w:val="Heading2"/>
        <w:keepNext/>
        <w:keepLines/>
      </w:pPr>
      <w:r>
        <w:rPr>
          <w:color w:val="0066CC"/>
        </w:rPr>
        <w:t>INTRODUCCIÓN</w:t>
      </w:r>
    </w:p>
    <w:p>
      <w:r>
        <w:t xml:space="preserve">Esta matriz mapea </w:t>
      </w:r>
      <w:r>
        <w:rPr>
          <w:b/>
        </w:rPr>
        <w:t>15 indicadores DORA clave</w:t>
      </w:r>
      <w:r>
        <w:t xml:space="preserve"> directamente a:</w:t>
      </w:r>
      <w:r/>
      <w:r>
        <w:br/>
        <w:t xml:space="preserve">1. </w:t>
      </w:r>
      <w:r>
        <w:rPr>
          <w:b/>
        </w:rPr>
        <w:t>Artículos específicos del Reglamento DORA (EU 2022/2554)</w:t>
      </w:r>
      <w:r/>
      <w:r>
        <w:br/>
        <w:t xml:space="preserve">2. </w:t>
      </w:r>
      <w:r>
        <w:rPr>
          <w:b/>
        </w:rPr>
        <w:t>Normas Técnicas Regulatorias (RTS) de ESAs (EBA, ESMA, EIOPA)</w:t>
      </w:r>
      <w:r/>
      <w:r>
        <w:br/>
        <w:t xml:space="preserve">3. </w:t>
      </w:r>
      <w:r>
        <w:rPr>
          <w:b/>
        </w:rPr>
        <w:t>Requisitos técnicos detallados</w:t>
      </w:r>
      <w:r/>
      <w:r>
        <w:br/>
        <w:t xml:space="preserve">4. </w:t>
      </w:r>
      <w:r>
        <w:rPr>
          <w:b/>
        </w:rPr>
        <w:t>Evidencia de cumplimiento requerida</w:t>
      </w:r>
    </w:p>
    <w:p>
      <w:r>
        <w:t>Uso: Justificación regulatoria de inversiones técnicas; preparación para auditoría supervisora.</w:t>
      </w:r>
    </w:p>
    <w:p>
      <w:pPr>
        <w:pStyle w:val="Heading2"/>
        <w:keepNext/>
        <w:keepLines/>
      </w:pPr>
      <w:r>
        <w:rPr>
          <w:color w:val="0066CC"/>
        </w:rPr>
        <w:t>MATRIZ COMPLETA: INDICADORES → DORA ARTICLES → RTS → EVIDENCIA</w:t>
      </w:r>
    </w:p>
    <w:p>
      <w:pPr>
        <w:pStyle w:val="Heading3"/>
        <w:keepNext/>
        <w:keepLines/>
      </w:pPr>
      <w:r>
        <w:t>INDICADOR 1: MTTD &lt;15 Minutos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 w:val="1"/>
        </w:trPr>
        <w:tc>
          <w:tcPr>
            <w:tcW w:type="dxa" w:w="46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46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Descripción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Indicador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Mean Time To Detect (MTTD) &lt; 15 minutos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Artículo DORA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Art. 18 (Detección de incidentes TIC)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Texto Artículo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"Los proveedores de servicios de entidades han de detectar los incidentes TIC graves con la máxima rapidez"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RTS Aplicable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EBA/ESMA/EIOPA RTS on Major ICT-Related Incidents (Part 4, Classification)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Requisito Técnico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Tiempo promedio desde ocurrencia de evento TIC hasta generación de alerta escalada ≤15 minutos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Componentes Medición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- Timestamp eventos (SIEM source)  - Timestamp detección (SIEM alert generated)  - Sincronización horaria NTP ±100ms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Frecuencia Reporte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Diaria; agregación semanal; escalation si &gt;20min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Herramientas Requeridas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SIEM (Splunk, ELK, Sumo Logic); alerting rules; escalation workflows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Evidencia Cumplimiento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- SIEM dashboard mostrando MTTD trending  - Logs de sincronización NTP  - Documentación de alert rules DORA-aligned  - Reportes mensuales CRO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Benchmark Regulatorio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Banco de España: &lt;30 min (aconsejable)  DORA target: &lt;15 min (recomendable para significativas)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</w:pPr>
            <w:r>
              <w:t>Supervisory Focus</w:t>
            </w:r>
          </w:p>
        </w:tc>
        <w:tc>
          <w:tcPr>
            <w:tcW w:type="dxa" w:w="4680"/>
          </w:tcPr>
          <w:p>
            <w:pPr>
              <w:keepLines w:val="1"/>
            </w:pPr>
            <w:r>
              <w:t>¿Detecta 95%+ incidentes críticos? ¿Dentro 15 min? ¿Escala alerts correctamente?</w:t>
            </w:r>
          </w:p>
        </w:tc>
      </w:tr>
    </w:tbl>
    <w:p/>
    <w:p>
      <w:pPr>
        <w:pStyle w:val="Heading3"/>
        <w:keepNext/>
        <w:keepLines/>
      </w:pPr>
      <w:r>
        <w:t>INDICADOR 2: MTTR &lt;4 Horas (Críticos)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 w:val="1"/>
        </w:trPr>
        <w:tc>
          <w:tcPr>
            <w:tcW w:type="dxa" w:w="46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46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Descripción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Indicador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Mean Time To Remediate (MTTR) &lt;4 horas para incidentes críticos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Artículo DORA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Art. 20 (Respuesta a incidentes); Art. 19 (Notificación autoridades)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Texto Artículo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"Reparación rápida e información periódica a supervisores de incidentes graves"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RTS Aplicable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EBA RTS on Incident Reporting Timelines; EBA Guidelines Incident Response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Requisito Técnico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Tiempo desde confirmación de incidente hasta restauración servicio ≤4h (críticos); ≤8h (importantes)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Componentes Medición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- Timestamp confirmación incidente  - Timestamp de restauración completada  - Verificación independiente de restauración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Frecuencia Reporte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Real-time alerts si &gt;3h; escalation inmediata CRO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Herramientas Requeridas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Incident Management System (Jira, ServiceNow); runbooks automatizados; monitoring restauración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Evidencia Cumplimiento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- Incident tickets con timelines documentadas  - SLA breach logs  - Restoration verification reports  - Board reporting MTTR trends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Benchmark Regulatorio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DORA: &lt;4h objetivo; Banco de España auditoría verifica cumplimiento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</w:pPr>
            <w:r>
              <w:t>Supervisory Focus</w:t>
            </w:r>
          </w:p>
        </w:tc>
        <w:tc>
          <w:tcPr>
            <w:tcW w:type="dxa" w:w="4680"/>
          </w:tcPr>
          <w:p>
            <w:pPr>
              <w:keepLines w:val="1"/>
            </w:pPr>
            <w:r>
              <w:t>¿Restoration timelines cumplen SLA? ¿Hay runbooks para tipos incidente principales?</w:t>
            </w:r>
          </w:p>
        </w:tc>
      </w:tr>
    </w:tbl>
    <w:p/>
    <w:p>
      <w:pPr>
        <w:pStyle w:val="Heading3"/>
        <w:keepNext/>
        <w:keepLines/>
      </w:pPr>
      <w:r>
        <w:t>INDICADOR 3: Patch Rate (CVSS ≥7.0 parchadas ≤30 días)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 w:val="1"/>
        </w:trPr>
        <w:tc>
          <w:tcPr>
            <w:tcW w:type="dxa" w:w="46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46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Descripción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Indicador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% Vulnerabilidades CVSS ≥7.0 parchadas dentro 30 días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Artículo DORA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Art. 24 (Evaluación de vulnerabilidades periódicas)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Texto Artículo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"Las entidades llevarán a cabo evaluaciones periódicas de vulnerabilidades...de sus sistemas de información"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RTS Aplicable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EBA RTS Art. 6 (ICT Risk Mgmt Framework); Vulnerability Management procedures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Requisito Técnico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Scanning semanal de vulnerabilidades; identificación CVSS; remediación &lt;30d para críticas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Componentes Medición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- Vulnerabilities database (Nessus, Qualys, Rapid7)  - CVSS scoring automático  - Patch deployment tracking  - Re-scanning post-patch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Frecuencia Reporte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Semanal; dashboard real-time; reporte mensual a CISO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Herramientas Requeridas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Vulnerability Scanner; Patch Management platform (e.g., Rapid7 Insightvm); CMDB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Evidencia Cumplimiento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- Scanning results (timestamps)  - Patch deployment logs  - Re-scan confirmación remediación  - Trending reports 90 días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Benchmark Regulatorio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DORA: 100% CVSS≥7 parchadas ≤30d  CIS Controls: Priority 1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</w:pPr>
            <w:r>
              <w:t>Supervisory Focus</w:t>
            </w:r>
          </w:p>
        </w:tc>
        <w:tc>
          <w:tcPr>
            <w:tcW w:type="dxa" w:w="4680"/>
          </w:tcPr>
          <w:p>
            <w:pPr>
              <w:keepLines w:val="1"/>
            </w:pPr>
            <w:r>
              <w:t>¿Cobertura scanning 100% sistemas críticos? ¿Exceptions documentadas? ¿Patching delays?</w:t>
            </w:r>
          </w:p>
        </w:tc>
      </w:tr>
    </w:tbl>
    <w:p/>
    <w:p>
      <w:pPr>
        <w:pStyle w:val="Heading3"/>
        <w:keepNext/>
        <w:keepLines/>
      </w:pPr>
      <w:r>
        <w:t>INDICADOR 4: False Positive Rate (% Alertas Falsas)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 w:val="1"/>
        </w:trPr>
        <w:tc>
          <w:tcPr>
            <w:tcW w:type="dxa" w:w="46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46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Descripción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Indicador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% Alertas no-verdaderas (False Positive Rate)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Artículo DORA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Art. 18 (implícito en "detección de incidentes"); Art. 10 (Monitoring continuo)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Texto Artículo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"Detección...incidentes graves requiere processes eficientes"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RTS Aplicable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EBA Guidelines on IT Controls; SIEM effectiveness metrics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Requisito Técnico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FPR &lt;10% (industria best practice); &lt;5% objetivo avanzado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Componentes Medición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- SIEM alert logs  - Manual analyst validation  - Classification true positive vs false positive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Frecuencia Reporte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Mensual; trending analysis; SLA if &gt;10%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Herramientas Requeridas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SIEM tuning/optimization; Analyst feedback loops; ML-based anomaly detection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Evidencia Cumplimiento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- SIEM tuning documentation  - FPR calculation methodology  - Monthly FPR trend reports  - Rule effectiveness analysis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Benchmark Regulatorio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NIST CSF: Reduce false positives via tuning  ENISA: &lt;10% acceptable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</w:pPr>
            <w:r>
              <w:t>Supervisory Focus</w:t>
            </w:r>
          </w:p>
        </w:tc>
        <w:tc>
          <w:tcPr>
            <w:tcW w:type="dxa" w:w="4680"/>
          </w:tcPr>
          <w:p>
            <w:pPr>
              <w:keepLines w:val="1"/>
            </w:pPr>
            <w:r>
              <w:t>¿FPR impacta SOC efficiency? ¿Tuning frequency? ¿Analyst burnout?</w:t>
            </w:r>
          </w:p>
        </w:tc>
      </w:tr>
    </w:tbl>
    <w:p/>
    <w:p>
      <w:pPr>
        <w:pStyle w:val="Heading3"/>
        <w:keepNext/>
        <w:keepLines/>
      </w:pPr>
      <w:r>
        <w:t>INDICADOR 5: Vulnerability Assessment Coverage (%)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 w:val="1"/>
        </w:trPr>
        <w:tc>
          <w:tcPr>
            <w:tcW w:type="dxa" w:w="46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46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Descripción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Indicador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% Sistemas/Assets escaneados por vulnerabilidades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Artículo DORA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Art. 24 (Evaluaciones periódicas vulnerabilidades)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Texto Artículo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"...evaluaciones periódicas de vulnerabilidades de sus sistemas"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RTS Aplicable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EBA RTS Art. 6 (Vulnerability Management framework); NIST SP 800-30 (Rev. 1)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Requisito Técnico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Cobertura 100% sistemas críticos; 95% sistemas importantes; ≥85% total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Componentes Medición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- Asset inventory (CMDB)  - Scanning results  - Coverage calculation (escaneados/total)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Frecuencia Reporte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Semanal; gap analysis mensual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Herramientas Requeridas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Vulnerability Scanner; CMDB integration; Asset management tools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Evidencia Cumplimiento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- Asset inventory reports  - Scanning exclusions documented  - Gap closure plans  - Coverage trending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Benchmark Regulatorio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DORA: 100% críticos  EU supervisors: Verifican cobertura exhaustividad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</w:pPr>
            <w:r>
              <w:t>Supervisory Focus</w:t>
            </w:r>
          </w:p>
        </w:tc>
        <w:tc>
          <w:tcPr>
            <w:tcW w:type="dxa" w:w="4680"/>
          </w:tcPr>
          <w:p>
            <w:pPr>
              <w:keepLines w:val="1"/>
            </w:pPr>
            <w:r>
              <w:t>¿Qué sistemas NO se escanean? ¿Por qué? ¿Plan para incluirlos?</w:t>
            </w:r>
          </w:p>
        </w:tc>
      </w:tr>
    </w:tbl>
    <w:p/>
    <w:p>
      <w:pPr>
        <w:pStyle w:val="Heading3"/>
        <w:keepNext/>
        <w:keepLines/>
      </w:pPr>
      <w:r>
        <w:t>INDICADOR 6: Third-Party Risk Assessment Coverage (%)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 w:val="1"/>
        </w:trPr>
        <w:tc>
          <w:tcPr>
            <w:tcW w:type="dxa" w:w="46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46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Descripción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Indicador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% Proveedores críticos con evaluación formal due diligence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Artículo DORA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Art. 28 (Due diligence precontractual)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Texto Artículo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"Llevarán a cabo un procedimiento de due diligence...en relación con los posibles riesgos"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RTS Aplicable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EBA RTS Art. 28-30 (Outsourcing; Third-party risk); ESMA RTS third-party mgmt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Requisito Técnico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Due diligence evaluation para 100% proveedores críticos; scoring framework documentado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Componentes Medición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- Vendor inventory  - Evaluation questionnaire responses  - Risk scoring  - Coverage %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Frecuencia Reporte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Trimestral; re-evaluation anual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Herramientas Requeridas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TPRM platform (e.g., OneTrust, ServiceNow); vendor questionnaire; scoring engine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Evidencia Cumplimiento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- Vendor inventory report  - Due diligence questionnaire responses  - Risk scores  - Evaluation dates  - Closure of findings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Benchmark Regulatorio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DORA: 100% críticos evaluados  CNMV España: Auditoría específica terceros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</w:pPr>
            <w:r>
              <w:t>Supervisory Focus</w:t>
            </w:r>
          </w:p>
        </w:tc>
        <w:tc>
          <w:tcPr>
            <w:tcW w:type="dxa" w:w="4680"/>
          </w:tcPr>
          <w:p>
            <w:pPr>
              <w:keepLines w:val="1"/>
            </w:pPr>
            <w:r>
              <w:t>¿Quién se considera "crítico"? ¿Evaluación rigor? ¿Subcontratos incluidos?</w:t>
            </w:r>
          </w:p>
        </w:tc>
      </w:tr>
    </w:tbl>
    <w:p/>
    <w:p>
      <w:pPr>
        <w:pStyle w:val="Heading3"/>
        <w:keepNext/>
        <w:keepLines/>
      </w:pPr>
      <w:r>
        <w:t>INDICADOR 7: DORA-Compliant Contracts (%)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 w:val="1"/>
        </w:trPr>
        <w:tc>
          <w:tcPr>
            <w:tcW w:type="dxa" w:w="46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46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Descripción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Indicador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% Contratos proveedores con cláusulas DORA-compliant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Artículo DORA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Art. 30 (Requisitos contractuales)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Texto Artículo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"Los contratos...contendrán disposiciones...incluida la seguridad de la información...y el acceso a datos"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RTS Aplicable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EBA RTS Part 6 (Contractual requirements); ESMA RTS 2022/991 Art. 18-22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Requisito Técnico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Contratos con cláusulas:  - Incident notification (24h/72h)  - Audit rights (anual)  - SLA (RTO/RPO)  - Sub-contractor clause  - Termination/exit provisions  - Data handling/encryption  - Breach notification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Componentes Medición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- Contract repository  - DORA checklist validation  - % compliant contracts  - Remediation tracking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Frecuencia Reporte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Trimestral; tracking of renegotiations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Herramientas Requeridas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Contract management platform; DORA checklist; legal workflow tools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Evidencia Cumplimiento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- Executed contracts (2+ años recent)  - DORA clause mapping  - Renegotiation log  - Exceptions documented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Benchmark Regulatorio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DORA: 100% compliance objetivo  CNMV: Verifica cláusulas audit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</w:pPr>
            <w:r>
              <w:t>Supervisory Focus</w:t>
            </w:r>
          </w:p>
        </w:tc>
        <w:tc>
          <w:tcPr>
            <w:tcW w:type="dxa" w:w="4680"/>
          </w:tcPr>
          <w:p>
            <w:pPr>
              <w:keepLines w:val="1"/>
            </w:pPr>
            <w:r>
              <w:t>¿Todos contratos DORA-compliant? ¿Grandfathered contracts? ¿Timeline renegociación?</w:t>
            </w:r>
          </w:p>
        </w:tc>
      </w:tr>
    </w:tbl>
    <w:p/>
    <w:p>
      <w:pPr>
        <w:pStyle w:val="Heading3"/>
        <w:keepNext/>
        <w:keepLines/>
      </w:pPr>
      <w:r>
        <w:t>INDICADOR 8: Threat-Led Penetration Testing (TLPT) Completion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 w:val="1"/>
        </w:trPr>
        <w:tc>
          <w:tcPr>
            <w:tcW w:type="dxa" w:w="46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46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Descripción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Indicador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Realización TLPT bienal (cada 3 años máximo)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Artículo DORA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Art. 26 (Testing de resilencia operativa)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Texto Artículo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"Los proveedores de servicios financieros...realizarán pruebas avanzadas...pruebas de penetración dirigidas por amenazas"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RTS Aplicable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EBA RTS Part 7 (Testing requirements); TIBER-EU methodology (central bank framework)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Requisito Técnico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TLPT bienal mínimo para entidades significativas; metodología TIBER-EU; cobertura ≥80% sistemas críticos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Componentes Medición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- TLPT charter aprobada  - Red team qualification verified  - Testing scope documented  - Findings count/severity  - Remediation tracking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Frecuencia Reporte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Post-TLPT (90 días); remediation status trimestral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Herramientas Requeridas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Certified red team (TIBER-EU accredited); penetration testing platform; findings tracker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Evidencia Cumplimiento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- TLPT charter signed  - Red team credentials  - Testing report (findings)  - Remediation plan  - Board approval  - Supervisory submission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Benchmark Regulatorio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DORA: Obligatorio significativas; recomendado importantes  EBA: Bienal cadence verificado auditoría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</w:pPr>
            <w:r>
              <w:t>Supervisory Focus</w:t>
            </w:r>
          </w:p>
        </w:tc>
        <w:tc>
          <w:tcPr>
            <w:tcW w:type="dxa" w:w="4680"/>
          </w:tcPr>
          <w:p>
            <w:pPr>
              <w:keepLines w:val="1"/>
            </w:pPr>
            <w:r>
              <w:t>¿TLPT realizado? ¿Metodología TIBER-EU? ¿Cobertura sistemas críticos? ¿Remediation status?</w:t>
            </w:r>
          </w:p>
        </w:tc>
      </w:tr>
    </w:tbl>
    <w:p/>
    <w:p>
      <w:pPr>
        <w:pStyle w:val="Heading3"/>
        <w:keepNext/>
        <w:keepLines/>
      </w:pPr>
      <w:r>
        <w:t>INDICADOR 9: Incident Notification Compliance (&lt;4h)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 w:val="1"/>
        </w:trPr>
        <w:tc>
          <w:tcPr>
            <w:tcW w:type="dxa" w:w="46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46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Descripción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Indicador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% Incidentes mayoreslleveled notificados a supervisores ≤4 horas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Artículo DORA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Art. 19 (Notificación de incidentes graves)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Texto Artículo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"Las entidades notificarán...a la autoridad competente...en los 4 horas de determinar que...se trata de un incidente grave"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RTS Aplicable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EBA/ESMA/EIOPA RTS on Major ICT-Related Incidents (Reporting timelines Part 3)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Requisito Técnico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4h initial notification; 72h intermediate; 30d final report; supervisory acknowledgment required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Componentes Medición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- Incident detection timestamp  - Classification timestamp  - Supervisory submission timestamp  - Acknowledgment receipt timestamp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Frecuencia Reporte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Real-time; alerts at 3h mark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Herramientas Requeridas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Incident management system; notification automation; supervisory portal (CNMV/Banco España)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Evidencia Cumplimiento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- Incident ticket timeline  - Supervisory submission email/portal log  - Acknowledgment receipt  - Compliance report (% on-time)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Benchmark Regulatorio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DORA: 4h non-negotiable  CNMV: Verificación auditoría 100% compliance histórico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</w:pPr>
            <w:r>
              <w:t>Supervisory Focus</w:t>
            </w:r>
          </w:p>
        </w:tc>
        <w:tc>
          <w:tcPr>
            <w:tcW w:type="dxa" w:w="4680"/>
          </w:tcPr>
          <w:p>
            <w:pPr>
              <w:keepLines w:val="1"/>
            </w:pPr>
            <w:r>
              <w:t>¿Notificaciones dentro 4h? ¿Ninguna demora? ¿Proceso automatizado?</w:t>
            </w:r>
          </w:p>
        </w:tc>
      </w:tr>
    </w:tbl>
    <w:p/>
    <w:p>
      <w:pPr>
        <w:pStyle w:val="Heading3"/>
        <w:keepNext/>
        <w:keepLines/>
      </w:pPr>
      <w:r>
        <w:t>INDICADOR 10: Phishing Click Rate (%)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 w:val="1"/>
        </w:trPr>
        <w:tc>
          <w:tcPr>
            <w:tcW w:type="dxa" w:w="46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46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Descripción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Indicador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% Empleados que hacen click en emails phishing simulados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Artículo DORA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Art. 14 (Implícito en awareness/training requirements)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Texto Artículo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"Sensibilización...personal...ciberseguridad"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RTS Aplicable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EBA Guidelines on IT Governance; NIST CSF Awareness &amp; Training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Requisito Técnico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Monthly phishing simulations; click rate tracking; training trigger &gt;8%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Componentes Medición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- Phishing simulation platform  - Click tracking  - User identification  - Training assignment  - Retesting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Frecuencia Reporte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Mensual; departmental breakdown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Herramientas Requeridas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Phishing simulation platform (KnowBe4, Gophish); LMS integration; reporting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Evidencia Cumplimiento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- Simulation campaign records  - Click data per user  - Training assignment logs  - Retest results  - Trending improvements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Benchmark Regulatorio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Industry: &lt;8% acceptable; &lt;5% good  Objetivo DORA: Cultura seguridad fuerte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</w:pPr>
            <w:r>
              <w:t>Supervisory Focus</w:t>
            </w:r>
          </w:p>
        </w:tc>
        <w:tc>
          <w:tcPr>
            <w:tcW w:type="dxa" w:w="4680"/>
          </w:tcPr>
          <w:p>
            <w:pPr>
              <w:keepLines w:val="1"/>
            </w:pPr>
            <w:r>
              <w:t>¿Click rates trending down? ¿Training tied to incidents? ¿Repeated offenders addressed?</w:t>
            </w:r>
          </w:p>
        </w:tc>
      </w:tr>
    </w:tbl>
    <w:p/>
    <w:p>
      <w:pPr>
        <w:pStyle w:val="Heading3"/>
        <w:keepNext/>
        <w:keepLines/>
      </w:pPr>
      <w:r>
        <w:t>INDICADOR 11: Board Training Completion (%)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 w:val="1"/>
        </w:trPr>
        <w:tc>
          <w:tcPr>
            <w:tcW w:type="dxa" w:w="46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46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Descripción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Indicador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% Miembros Junta Directiva que completaron training DORA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Artículo DORA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Art. 5 (Governance); Art. 14 (Awareness)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Texto Artículo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"Los órganos directivos...poseen...conocimientos suficientes" de ciberseguridad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RTS Aplicable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EBA Guidelines on Governance; European Corporate Governance codes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Requisito Técnico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100% board members trained; annual refresher; documented assessment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Componentes Medición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- Training attendance  - Assessment scores  - Completion date  - Renewal date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Frecuencia Reporte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Anual; pre-audit verification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Herramientas Requeridas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LMS; training modules; assessment exams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Evidencia Cumplimiento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- Training attendance list  - Assessment scores  - Training certificates  - Audit trail LMS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Benchmark Regulatorio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DORA: 100% compliance  Supervisors: Verifican anualmente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</w:pPr>
            <w:r>
              <w:t>Supervisory Focus</w:t>
            </w:r>
          </w:p>
        </w:tc>
        <w:tc>
          <w:tcPr>
            <w:tcW w:type="dxa" w:w="4680"/>
          </w:tcPr>
          <w:p>
            <w:pPr>
              <w:keepLines w:val="1"/>
            </w:pPr>
            <w:r>
              <w:t>¿100% board trained? ¿Anualmente? ¿Assessment results?</w:t>
            </w:r>
          </w:p>
        </w:tc>
      </w:tr>
    </w:tbl>
    <w:p/>
    <w:p>
      <w:pPr>
        <w:pStyle w:val="Heading3"/>
        <w:keepNext/>
        <w:keepLines/>
      </w:pPr>
      <w:r>
        <w:t>INDICADOR 12: Business Continuity Testing (% Completado)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 w:val="1"/>
        </w:trPr>
        <w:tc>
          <w:tcPr>
            <w:tcW w:type="dxa" w:w="46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46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Descripción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Indicador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% Planes continuidad negocio testeados (anual/semestral)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Artículo DORA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Art. 25 (Testing de resiliencia operativa); Art. 2 (Funciones críticas)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Texto Artículo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"Pruebas...verificarán...capacidad de continuar...servicios...en caso de perturbación grave"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RTS Aplicable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EBA RTS Part 7 (Testing types); EBA Guidelines on Stress Testing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Requisito Técnico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Annual tabletop minimum; semi-annual full exercise; site activation testing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Componentes Medición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- Test schedule  - Participant list  - Scenario documentation  - Results/gaps  - Remediation tracking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Frecuencia Reporte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Post-test (30 days); annual summary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Herramientas Requeridas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Test scheduling tool; scenario playbooks; incident simulation platform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Evidencia Cumplimiento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- Test plans/charters  - Participant logs  - Exercise results  - Findings/actions  - Board reporting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Benchmark Regulatorio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DORA: Annual mínimo  Supervisors: Verifica cadencia/realismo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</w:pPr>
            <w:r>
              <w:t>Supervisory Focus</w:t>
            </w:r>
          </w:p>
        </w:tc>
        <w:tc>
          <w:tcPr>
            <w:tcW w:type="dxa" w:w="4680"/>
          </w:tcPr>
          <w:p>
            <w:pPr>
              <w:keepLines w:val="1"/>
            </w:pPr>
            <w:r>
              <w:t>¿Testing anual realizado? ¿Realismo de scenarios? ¿RTO/RPO validation?</w:t>
            </w:r>
          </w:p>
        </w:tc>
      </w:tr>
    </w:tbl>
    <w:p/>
    <w:p>
      <w:pPr>
        <w:pStyle w:val="Heading3"/>
        <w:keepNext/>
        <w:keepLines/>
      </w:pPr>
      <w:r>
        <w:t>INDICADOR 13: ICT Risk Framework Evaluation (%)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 w:val="1"/>
        </w:trPr>
        <w:tc>
          <w:tcPr>
            <w:tcW w:type="dxa" w:w="46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46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Descripción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Indicador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% Cobertura de framework de gestión riesgos TIC conforme DORA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Artículo DORA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Art. 6 (ICT Risk Management Framework)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Texto Artículo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"Marco integral de gestión de riesgos TIC...basado en la evaluación de riesgos"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RTS Aplicable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EBA RTS Art. 6; NIST CSF 2.0; ISO 27001 Annex A controls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Requisito Técnico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Framework cubre: policies, controls, governance, monitoring, incident response, BC/DR, training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Componentes Medición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- Policy documentation  - Control inventory  - Gap assessment  - Closure tracking  - Coverage %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Frecuencia Reporte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Anual; auditoría externe verificación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Herramientas Requeridas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GRC platform (OneTrust, Archer); policy management; control testing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Evidencia Cumplimiento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- Policy documents  - Control matrix  - Gap analysis  - External audit report  - Remediation status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Benchmark Regulatorio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DORA: 100% framework coverage objetivo  Supervisors: Audit GAP versus DORA/NIST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</w:pPr>
            <w:r>
              <w:t>Supervisory Focus</w:t>
            </w:r>
          </w:p>
        </w:tc>
        <w:tc>
          <w:tcPr>
            <w:tcW w:type="dxa" w:w="4680"/>
          </w:tcPr>
          <w:p>
            <w:pPr>
              <w:keepLines w:val="1"/>
            </w:pPr>
            <w:r>
              <w:t>¿Framework documentado? ¿Completo vs DORA? ¿Gaps known/addressed?</w:t>
            </w:r>
          </w:p>
        </w:tc>
      </w:tr>
    </w:tbl>
    <w:p/>
    <w:p>
      <w:pPr>
        <w:pStyle w:val="Heading3"/>
        <w:keepNext/>
        <w:keepLines/>
      </w:pPr>
      <w:r>
        <w:t>INDICADOR 14: Cryptography Implementation (%)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 w:val="1"/>
        </w:trPr>
        <w:tc>
          <w:tcPr>
            <w:tcW w:type="dxa" w:w="46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46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Descripción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Indicador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% Assets con encriptación datos en tránsito y reposo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Artículo DORA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Art. 9 (Gestión de acceso y criptografía)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Texto Artículo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"Usar mecanismos criptográficos robustos...para proteger la información sensible"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RTS Aplicable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EBA RTS Art. 9; NIST SP 800-175B (Cryptographic Key Management)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Requisito Técnico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TLS 1.3+ para tránsito; AES-256+ para reposo; key management formalizado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Componentes Medición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- Encryption scanning  - Algorithm validation  - Key management audit  - Coverage % (encrypted/total)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Frecuencia Reporte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Trimestral; anual compliance audit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Herramientas Requeridas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Encryption scanning tools; HSM (Hardware Security Module); key management system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Evidencia Cumplimiento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- Encryption inventory  - Algorithm documentation  - Key rotation logs  - Encryption scanning results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Benchmark Regulatorio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DORA: 100% sensitive data encrypted objetivo  PCI DSS: Compliance requirement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</w:pPr>
            <w:r>
              <w:t>Supervisory Focus</w:t>
            </w:r>
          </w:p>
        </w:tc>
        <w:tc>
          <w:tcPr>
            <w:tcW w:type="dxa" w:w="4680"/>
          </w:tcPr>
          <w:p>
            <w:pPr>
              <w:keepLines w:val="1"/>
            </w:pPr>
            <w:r>
              <w:t>¿Cobertura datos sensibles? ¿Algoritmos actuales? ¿Key management formal?</w:t>
            </w:r>
          </w:p>
        </w:tc>
      </w:tr>
    </w:tbl>
    <w:p/>
    <w:p>
      <w:pPr>
        <w:pStyle w:val="Heading3"/>
        <w:keepNext/>
        <w:keepLines/>
      </w:pPr>
      <w:r>
        <w:t>INDICADOR 15: Incident Response SLA Achievement (%)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 w:val="1"/>
        </w:trPr>
        <w:tc>
          <w:tcPr>
            <w:tcW w:type="dxa" w:w="46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46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Descripción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Indicador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% Incidentes remediados dentro SLA (by severity tier)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Artículo DORA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Art. 20 (Incident response)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Texto Artículo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"Respuesta rápida...reparación pronta de incidentes graves"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RTS Aplicable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EBA Guidelines on Incident Response; NIST SP 800-61 (Computer Security Incident Handling)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Requisito Técnico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Critical: &lt;4h; High: &lt;8h; Medium: &lt;24h; Low: &lt;5 días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Componentes Medición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- Incident severity classification  - SLA definition  - Closure timestamp  - SLA achievement %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Frecuencia Reporte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Semanal; monthly to management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Herramientas Requeridas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Incident management system (Jira, ServiceNow) with SLA tracking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Evidencia Cumplimiento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- SLA policy document  - Incident tickets with SLA fields  - SLA compliance reports  - Breaches log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Benchmark Regulatorio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DORA: SLA compliance objetivo &gt;95%  Industria: Typical 85-95%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</w:pPr>
            <w:r>
              <w:t>Supervisory Focus</w:t>
            </w:r>
          </w:p>
        </w:tc>
        <w:tc>
          <w:tcPr>
            <w:tcW w:type="dxa" w:w="4680"/>
          </w:tcPr>
          <w:p>
            <w:pPr>
              <w:keepLines w:val="1"/>
            </w:pPr>
            <w:r>
              <w:t>¿SLA definidos? ¿Compliance rate? ¿Breaches análisis?</w:t>
            </w:r>
          </w:p>
        </w:tc>
      </w:tr>
    </w:tbl>
    <w:p/>
    <w:p>
      <w:pPr>
        <w:pStyle w:val="Heading2"/>
        <w:keepNext/>
        <w:keepLines/>
      </w:pPr>
      <w:r>
        <w:rPr>
          <w:color w:val="0066CC"/>
        </w:rPr>
        <w:t>RESUMEN: TRAZABILIDAD POR ARTÍCULO DORA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ART. 5 (Governance)</w:t>
        <w:br/>
        <w:t xml:space="preserve">  → Board Training Completion (Indicator 11)</w:t>
        <w:br/>
        <w:t xml:space="preserve">  → Incident Notification Compliance (Indicator 9)</w:t>
        <w:br/>
        <w:br/>
        <w:t>ART. 6 (ICT Risk Framework)</w:t>
        <w:br/>
        <w:t xml:space="preserve">  → ICT Risk Framework Evaluation (Indicator 13)</w:t>
        <w:br/>
        <w:t xml:space="preserve">  → Vulnerability Coverage (Indicator 5)</w:t>
        <w:br/>
        <w:br/>
        <w:t>ART. 9 (Encryption)</w:t>
        <w:br/>
        <w:t xml:space="preserve">  → Cryptography Implementation (Indicator 14)</w:t>
        <w:br/>
        <w:br/>
        <w:t>ART. 14 (Awareness)</w:t>
        <w:br/>
        <w:t xml:space="preserve">  → Phishing Click Rate (Indicator 10)</w:t>
        <w:br/>
        <w:t xml:space="preserve">  → Board Training (Indicator 11)</w:t>
        <w:br/>
        <w:br/>
        <w:t>ART. 18 (Detection)</w:t>
        <w:br/>
        <w:t xml:space="preserve">  → MTTD &lt;15 min (Indicator 1)</w:t>
        <w:br/>
        <w:t xml:space="preserve">  → False Positive Rate (Indicator 4)</w:t>
        <w:br/>
        <w:br/>
        <w:t>ART. 19-20 (Notification + Response)</w:t>
        <w:br/>
        <w:t xml:space="preserve">  → Incident Notification &lt;4h (Indicator 9)</w:t>
        <w:br/>
        <w:t xml:space="preserve">  → MTTR &lt;4h (Indicator 2)</w:t>
        <w:br/>
        <w:t xml:space="preserve">  → Incident Response SLA (Indicator 15)</w:t>
        <w:br/>
        <w:br/>
        <w:t>ART. 24 (Testing - Vulnerability Assessment)</w:t>
        <w:br/>
        <w:t xml:space="preserve">  → Patch Rate (Indicator 3)</w:t>
        <w:br/>
        <w:t xml:space="preserve">  → Vulnerability Coverage (Indicator 5)</w:t>
        <w:br/>
        <w:br/>
        <w:t>ART. 25 (Testing - Resilience)</w:t>
        <w:br/>
        <w:t xml:space="preserve">  → Business Continuity Testing (Indicator 12)</w:t>
        <w:br/>
        <w:br/>
        <w:t>ART. 26 (Testing - TLPT)</w:t>
        <w:br/>
        <w:t xml:space="preserve">  → TLPT Completion (Indicator 8)</w:t>
        <w:br/>
        <w:br/>
        <w:t>ART. 28-30 (Third-Party Risk)</w:t>
        <w:br/>
        <w:t xml:space="preserve">  → Third-Party Assessment Coverage (Indicator 6)</w:t>
        <w:br/>
        <w:t xml:space="preserve">  → DORA-Compliant Contracts (Indicator 7)</w:t>
        <w:br/>
      </w:r>
    </w:p>
    <w:p>
      <w:pPr>
        <w:pStyle w:val="Heading2"/>
        <w:keepNext/>
        <w:keepLines/>
      </w:pPr>
      <w:r>
        <w:rPr>
          <w:color w:val="0066CC"/>
        </w:rPr>
        <w:t>USO PRÁCTICO: AUDITORÍA SUPERVISORA</w:t>
      </w:r>
    </w:p>
    <w:p>
      <w:r>
        <w:rPr>
          <w:b/>
        </w:rPr>
        <w:t>Preparación para auditoría supervisora:</w:t>
      </w:r>
    </w:p>
    <w:p>
      <w:pPr>
        <w:pStyle w:val="ListNumber"/>
        <w:keepLines w:val="1"/>
        <w:keepNext w:val="1"/>
        <w:widowControl w:val="1"/>
      </w:pPr>
      <w:r>
        <w:t>✓ Recopilar evidencia por Art. DORA (usar matriz arriba)</w:t>
      </w:r>
    </w:p>
    <w:p>
      <w:pPr>
        <w:pStyle w:val="ListNumber"/>
        <w:keepLines w:val="1"/>
        <w:keepNext w:val="1"/>
        <w:widowControl w:val="1"/>
      </w:pPr>
      <w:r>
        <w:t>✓ Verificar score PRAGMATIC de cada métrica</w:t>
      </w:r>
    </w:p>
    <w:p>
      <w:pPr>
        <w:pStyle w:val="ListNumber"/>
        <w:keepLines w:val="1"/>
        <w:keepNext w:val="1"/>
        <w:widowControl w:val="1"/>
      </w:pPr>
      <w:r>
        <w:t>✓ Documentar frecuencia de reporte</w:t>
      </w:r>
    </w:p>
    <w:p>
      <w:pPr>
        <w:pStyle w:val="ListNumber"/>
        <w:keepLines w:val="1"/>
        <w:keepNext w:val="1"/>
        <w:widowControl w:val="1"/>
      </w:pPr>
      <w:r>
        <w:t>✓ Preparar trending data (12 meses mínimo)</w:t>
      </w:r>
    </w:p>
    <w:p>
      <w:pPr>
        <w:pStyle w:val="ListNumber"/>
        <w:keepLines w:val="1"/>
        <w:widowControl w:val="1"/>
      </w:pPr>
      <w:r>
        <w:t>✓ Demostrar governance/ownership de cada indicador</w:t>
      </w:r>
    </w:p>
    <w:p>
      <w:r>
        <w:rPr>
          <w:b/>
        </w:rPr>
        <w:t>Red flags para supervisores:</w:t>
      </w:r>
    </w:p>
    <w:p>
      <w:r>
        <w:t>⚠ MTTD &gt; 20 minutos</w:t>
      </w:r>
      <w:r>
        <w:br/>
        <w:t>⚠ Patch rate &lt; 90%</w:t>
        <w:br/>
        <w:t>⚠ Vendor coverage &lt; 95%</w:t>
        <w:br/>
        <w:t>⚠ TLPT no realizado (para significativas)</w:t>
        <w:br/>
        <w:t>⚠ Incident notification delays</w:t>
      </w:r>
    </w:p>
    <w:p>
      <w:r>
        <w:rPr>
          <w:b/>
        </w:rPr>
        <w:t>Fin del Mapeo</w:t>
      </w:r>
    </w:p>
    <w:p>
      <w:r>
        <w:rPr>
          <w:i/>
        </w:rPr>
        <w:t>Enero 2026 — Matriz Trazabilidad Integral para Cumplimiento DORA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