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POWERPOINT: REPORTE RESULTADOS ENCUESTA DORA</w:t>
      </w:r>
    </w:p>
    <w:p>
      <w:pPr>
        <w:pStyle w:val="Heading2"/>
        <w:keepNext/>
        <w:keepLines/>
      </w:pPr>
      <w:r>
        <w:rPr>
          <w:color w:val="0066CC"/>
        </w:rPr>
        <w:t>Presentación Ejecutiva de Hallazgos (12 Slides)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Clasificación:</w:t>
      </w:r>
      <w:r>
        <w:t xml:space="preserve"> Profesional — Presentación para Junta Directiva</w:t>
      </w:r>
      <w:r/>
      <w:r>
        <w:br/>
      </w:r>
      <w:r>
        <w:rPr>
          <w:b/>
        </w:rPr>
        <w:t>Duración:</w:t>
      </w:r>
      <w:r>
        <w:t xml:space="preserve"> 20-30 minutos + Q&amp;A</w:t>
      </w:r>
    </w:p>
    <w:p>
      <w:pPr>
        <w:pStyle w:val="Heading2"/>
        <w:keepNext/>
        <w:keepLines/>
      </w:pPr>
      <w:r>
        <w:rPr>
          <w:color w:val="0066CC"/>
        </w:rPr>
        <w:t>ESTRUCTURA: 12 SLIDES</w:t>
      </w:r>
    </w:p>
    <w:p>
      <w:pPr>
        <w:pStyle w:val="Heading3"/>
        <w:keepNext/>
        <w:keepLines/>
      </w:pPr>
      <w:r>
        <w:t>SLIDE 1: Portada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│</w:t>
        <w:br/>
        <w:t>│     ENCUESTA DE CIBERSEGURIDAD DORA 2026                   │</w:t>
        <w:br/>
        <w:t>│                    RESULTADOS EJECUTIVOS                    │</w:t>
        <w:br/>
        <w:t>│                                                              │</w:t>
        <w:br/>
        <w:t>│              Estado de Madurez Ciberseguridad              │</w:t>
        <w:br/>
        <w:t>│                                                              │</w:t>
        <w:br/>
        <w:t>│                                                              │</w:t>
        <w:br/>
        <w:t>│    [Logo Institución]              [DORA Logo]            │</w:t>
        <w:br/>
        <w:t>│                                                              │</w:t>
        <w:br/>
        <w:t>│                                                              │</w:t>
        <w:br/>
        <w:t>│                    Enero 20, 2026                           │</w:t>
        <w:br/>
        <w:t>│          Presentado a: Junta Directiva                      │</w:t>
        <w:br/>
        <w:t>│            Respondentes: 12 personas clave                  │</w:t>
        <w:br/>
        <w:t>│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Elementos:</w:t>
      </w:r>
      <w:r>
        <w:t xml:space="preserve"> Logo institución + DORA; fecha; audiencia; fondo profesional</w:t>
      </w:r>
    </w:p>
    <w:p>
      <w:pPr>
        <w:pStyle w:val="Heading3"/>
        <w:keepNext/>
        <w:keepLines/>
      </w:pPr>
      <w:r>
        <w:t>SLIDE 2: Agenda y Contexto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AGENDA DE LA PRESENTACIÓN:</w:t>
        <w:br/>
        <w:br/>
        <w:t>1. CONTEXTO: ¿Por qué esta encuesta?</w:t>
        <w:br/>
        <w:t xml:space="preserve">   ↓ DORA compliance obligatorio 2025+; auditoría Q2-Q3 2026</w:t>
        <w:br/>
        <w:br/>
        <w:t>2. METODOLOGÍA: ¿Cómo evaluamos?</w:t>
        <w:br/>
        <w:t xml:space="preserve">   ↓ 128 preguntas × 8 módulos; escala 1-5 madurez; CMI ponderado</w:t>
        <w:br/>
        <w:br/>
        <w:t>3. RESULTADOS: ¿Dónde estamos?</w:t>
        <w:br/>
        <w:t xml:space="preserve">   ↓ CMI actual 2.8/5.0 (MANAGED); distributed por pilar</w:t>
        <w:br/>
        <w:br/>
        <w:t>4. GAPS: ¿Qué nos falta?</w:t>
        <w:br/>
        <w:t xml:space="preserve">   ↓ Prioridades inmediatas y críticas identificadas</w:t>
        <w:br/>
        <w:br/>
        <w:t>5. ROADMAP: ¿Cómo mejoramos?</w:t>
        <w:br/>
        <w:t xml:space="preserve">   ↓ Fases 1-3; presupuesto; timelines; responsables</w:t>
        <w:br/>
        <w:br/>
        <w:t>6. FINANCIERO: ¿Cuál es el ROI?</w:t>
        <w:br/>
        <w:t xml:space="preserve">   ↓ €730K inversión; €1M+ ALE reduction; 242% ROSI</w:t>
        <w:br/>
        <w:br/>
        <w:t>7. RECOMENDACIONES: ¿Qué decide la Junta?</w:t>
        <w:br/>
        <w:t xml:space="preserve">   ↓ 3 mociones para aprobación inmediata</w:t>
        <w:br/>
      </w:r>
    </w:p>
    <w:p>
      <w:pPr>
        <w:pStyle w:val="Heading3"/>
        <w:keepNext/>
        <w:keepLines/>
      </w:pPr>
      <w:r>
        <w:t>SLIDE 3: Contexto Regulatorio DORA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¿QUÉ ES DORA?</w:t>
        <w:br/>
        <w:br/>
        <w:t>Digital Operational Resilience Act (Reglamento EU 2022/2554)</w:t>
        <w:br/>
        <w:br/>
        <w:t>OBJETIVO: Fortalecer resiliencia ciberseguridad sector financiero EU</w:t>
        <w:br/>
        <w:br/>
        <w:t>APLICACIÓN: España</w:t>
        <w:br/>
        <w:t xml:space="preserve">  • Bancos (todos tamaños)</w:t>
        <w:br/>
        <w:t xml:space="preserve">  • Aseguradoras</w:t>
        <w:br/>
        <w:t xml:space="preserve">  • Asset Managers (SGIIC/SGECR)</w:t>
        <w:br/>
        <w:t xml:space="preserve">  • Proveedores servicios críticos</w:t>
        <w:br/>
        <w:br/>
        <w:t>DEADLINE:</w:t>
        <w:br/>
        <w:t xml:space="preserve">  ✓ Enero 2025: Aplicable (Ya en vigor)</w:t>
        <w:br/>
        <w:t xml:space="preserve">  ✓ Próximo: Supervisory audits Q2-Q3 2026</w:t>
        <w:br/>
        <w:br/>
        <w:t>REQUISITOS CLAVE:</w:t>
        <w:br/>
        <w:t xml:space="preserve">  • ICT Risk Management Framework (Art. 6-10)</w:t>
        <w:br/>
        <w:t xml:space="preserve">  • Incident Detection &lt;15 minutos (Art. 18)</w:t>
        <w:br/>
        <w:t xml:space="preserve">  • Third-party Risk Management (Art. 28-30)</w:t>
        <w:br/>
        <w:t xml:space="preserve">  • Threat-Led Penetration Testing bienal (Art. 26)</w:t>
        <w:br/>
        <w:t xml:space="preserve">  • Resilience Testing anual (Art. 25)</w:t>
        <w:br/>
      </w:r>
    </w:p>
    <w:p>
      <w:pPr>
        <w:pStyle w:val="Heading3"/>
        <w:keepNext/>
        <w:keepLines/>
      </w:pPr>
      <w:r>
        <w:t>SLIDE 4: Metodología Encuesta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CÓMO EVALUAMOS:</w:t>
        <w:br/>
        <w:br/>
        <w:t>Preguntas:        128 preguntas específicas DORA</w:t>
        <w:br/>
        <w:t>Módulos:          8 módulos (Gobernanza, Riesgos, Incidentes, etc.)</w:t>
        <w:br/>
        <w:t>Escala:           1-5 (Ad-hoc → Optimized)</w:t>
        <w:br/>
        <w:t>Respondentes:     12 personas clave (CISO, CRO, Compliance, etc.)</w:t>
        <w:br/>
        <w:t>Cobertura:        100% Artículos DORA (5-30)</w:t>
        <w:br/>
        <w:br/>
        <w:t>ESCALA DE MADUREZ:</w:t>
        <w:br/>
        <w:br/>
        <w:t xml:space="preserve">  1 (Ad-hoc):      No existe; muy básico; procesos manuales</w:t>
        <w:br/>
        <w:t xml:space="preserve">  2 (Developing):  Existe pero incompleto; gaps significativos</w:t>
        <w:br/>
        <w:t xml:space="preserve">  3 (Managed):     Conforme DORA; con gaps menores</w:t>
        <w:br/>
        <w:t xml:space="preserve">  4 (Integrated):  Totalmente alineado DORA; best practices</w:t>
        <w:br/>
        <w:t xml:space="preserve">  5 (Optimized):   Excelencia; continuous improvement</w:t>
        <w:br/>
        <w:br/>
        <w:t>CMI (Cybersecurity Maturity Index):</w:t>
        <w:br/>
        <w:br/>
        <w:t xml:space="preserve">  Ponderación:</w:t>
        <w:br/>
        <w:t xml:space="preserve">    • Gobernanza (25%)</w:t>
        <w:br/>
        <w:t xml:space="preserve">    • Riesgos (20%)</w:t>
        <w:br/>
        <w:t xml:space="preserve">    • Incidentes (20%)</w:t>
        <w:br/>
        <w:t xml:space="preserve">    • Vulnerabilidades (10%)</w:t>
        <w:br/>
        <w:t xml:space="preserve">    • SIEM (10%)</w:t>
        <w:br/>
        <w:t xml:space="preserve">    • Información/Acceso (10%)</w:t>
        <w:br/>
        <w:t xml:space="preserve">    • Capacitación (3%)</w:t>
        <w:br/>
        <w:t xml:space="preserve">    • Resiliencia (2%)</w:t>
        <w:br/>
      </w:r>
    </w:p>
    <w:p>
      <w:pPr>
        <w:pStyle w:val="Heading3"/>
        <w:keepNext/>
        <w:keepLines/>
      </w:pPr>
      <w:r>
        <w:t>SLIDE 5: CMI Dashboard - Estado Actual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CYBERSECURITY MATURITY INDEX: 2.8/5.0 (MANAGED - Developing)</w:t>
        <w:br/>
        <w:br/>
        <w:t xml:space="preserve">        │</w:t>
        <w:br/>
        <w:t xml:space="preserve">      5 │                    ★ TARGET Q3</w:t>
        <w:br/>
        <w:t xml:space="preserve">        │                    (3.5)</w:t>
        <w:br/>
        <w:t xml:space="preserve">        │</w:t>
        <w:br/>
        <w:t xml:space="preserve">      4 │</w:t>
        <w:br/>
        <w:t xml:space="preserve">        │</w:t>
        <w:br/>
        <w:t xml:space="preserve">      3 │        ●                    </w:t>
        <w:br/>
        <w:t xml:space="preserve">        │     ACTUAL                  </w:t>
        <w:br/>
        <w:t xml:space="preserve">        │    (2.8)                    </w:t>
        <w:br/>
        <w:t xml:space="preserve">      2 │</w:t>
        <w:br/>
        <w:t xml:space="preserve">        │</w:t>
        <w:br/>
        <w:t xml:space="preserve">      1 │</w:t>
        <w:br/>
        <w:t xml:space="preserve">        └──────────────────────────────</w:t>
        <w:br/>
        <w:t xml:space="preserve">          Q4 2025  Q1 2026  Q2 2026  Q3 2026</w:t>
        <w:br/>
        <w:br/>
        <w:t>INTERPRETACIÓN:</w:t>
        <w:br/>
        <w:t xml:space="preserve">  • Estado ACTUAL: 2.8 = "MANAGED-Developing"</w:t>
        <w:br/>
        <w:t xml:space="preserve">  • Significa: Conforme DORA con gaps; requiere remediación</w:t>
        <w:br/>
        <w:t xml:space="preserve">  • Tendencia: +0.2 desde Q4 (positivo)</w:t>
        <w:br/>
        <w:t xml:space="preserve">  • Target: 3.5 para auditoría Q3 2026 (achievable)</w:t>
        <w:br/>
        <w:br/>
        <w:t>BENCHMARK:</w:t>
        <w:br/>
        <w:t xml:space="preserve">  • EU promedio: 2.7/5.0</w:t>
        <w:br/>
        <w:t xml:space="preserve">  • Mejor-en-clase: 4.2/5.0 (grandes bancos)</w:t>
        <w:br/>
        <w:t xml:space="preserve">  • Nuestra posición: Ligeramente arriba promedio</w:t>
        <w:br/>
      </w:r>
    </w:p>
    <w:p>
      <w:pPr>
        <w:pStyle w:val="Heading3"/>
        <w:keepNext/>
        <w:keepLines/>
      </w:pPr>
      <w:r>
        <w:t>SLIDE 6: CMI por Módulo (Radar Chart)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DESGLOSE POR MÓDULO DE LOS 8 PILARES:</w:t>
        <w:br/>
        <w:br/>
        <w:t xml:space="preserve">                 Gobernanza 3.1</w:t>
        <w:br/>
        <w:t xml:space="preserve">                     /         \</w:t>
        <w:br/>
        <w:t xml:space="preserve">                   /             \</w:t>
        <w:br/>
        <w:t xml:space="preserve">              /                     \</w:t>
        <w:br/>
        <w:t xml:space="preserve">          Riesgos 2.6          Incidentes 3.0</w:t>
        <w:br/>
        <w:t xml:space="preserve">          |                           |</w:t>
        <w:br/>
        <w:t xml:space="preserve">          |                           |</w:t>
        <w:br/>
        <w:t xml:space="preserve">    Vulnerab 2.4                SIEM 2.7</w:t>
        <w:br/>
        <w:t xml:space="preserve">          \                         /</w:t>
        <w:br/>
        <w:t xml:space="preserve">            \                     /</w:t>
        <w:br/>
        <w:t xml:space="preserve">              \                 /</w:t>
        <w:br/>
        <w:t xml:space="preserve">              SegInfo 2.5 - Capacit 2.3</w:t>
        <w:br/>
        <w:t xml:space="preserve">                      \       /</w:t>
        <w:br/>
        <w:t xml:space="preserve">                        Resiliencia 2.1 ⚠⚠</w:t>
        <w:br/>
        <w:br/>
        <w:t>STATUS POR MÓDULO:</w:t>
        <w:br/>
        <w:t xml:space="preserve">  ✓ Gobernanza (3.1):     Acceptable; governance básica en place</w:t>
        <w:br/>
        <w:t xml:space="preserve">  ⚠ Riesgos (2.6):        Needs work; FAIR quantification missing</w:t>
        <w:br/>
        <w:t xml:space="preserve">  ✓ Incidentes (3.0):     Acceptable; incident response formalized</w:t>
        <w:br/>
        <w:t xml:space="preserve">  ⚠ Vulnerab (2.4):       Needs work; scanning + TLPT needs acceleration</w:t>
        <w:br/>
        <w:t xml:space="preserve">  ⚠ SIEM (2.7):           Needs work; MTTD currently 18min (target 15)</w:t>
        <w:br/>
        <w:t xml:space="preserve">  ⚠ SegInfo (2.5):        Needs work; encryption roadmap incomplete</w:t>
        <w:br/>
        <w:t xml:space="preserve">  ⚠ Capacitación (2.3):   Needs work; training program basic</w:t>
        <w:br/>
        <w:t xml:space="preserve">  ⚠⚠ Resiliencia (2.1):   CRITICAL; BC/DR testing needed</w:t>
        <w:br/>
        <w:br/>
        <w:t>PRIORIDADES INMEDIATAS:</w:t>
        <w:br/>
        <w:t xml:space="preserve">  1. Resiliencia (2.1) → Testing scheduling</w:t>
        <w:br/>
        <w:t xml:space="preserve">  2. Capacitación (2.3) → Training acceleration</w:t>
        <w:br/>
        <w:t xml:space="preserve">  3. SegInfo (2.5) → Encryption rollout</w:t>
        <w:br/>
      </w:r>
    </w:p>
    <w:p>
      <w:pPr>
        <w:pStyle w:val="Heading3"/>
        <w:keepNext/>
        <w:keepLines/>
      </w:pPr>
      <w:r>
        <w:t>SLIDE 7: Gaps Críticos Identificados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BRECHAS MÁS IMPORTANTES (Score &lt;2.5):</w:t>
        <w:br/>
        <w:br/>
        <w:t>1. RESILIENCIA OPERATIVA (Módulo 8: Score 2.1)</w:t>
        <w:br/>
        <w:t xml:space="preserve">   ⚠⚠ CRÍTICO - ART. 25 DORA</w:t>
        <w:br/>
        <w:t xml:space="preserve">   Gap: Business Continuity testing not completed</w:t>
        <w:br/>
        <w:t xml:space="preserve">   Impact: No RTO/RPO validation; BC plan not tested</w:t>
        <w:br/>
        <w:t xml:space="preserve">   Acción: Tabletop Q2; Site activation Q3; TLPT Q2</w:t>
        <w:br/>
        <w:t xml:space="preserve">   Costo: €80K</w:t>
        <w:br/>
        <w:t xml:space="preserve">   Target: 3.5/5.0 by Aug 2026</w:t>
        <w:br/>
        <w:br/>
        <w:t>2. CAPACITACIÓN SEGURIDAD (Módulo 7: Score 2.3)</w:t>
        <w:br/>
        <w:t xml:space="preserve">   ⚠ IMPORTANTE - ART. 14 DORA</w:t>
        <w:br/>
        <w:t xml:space="preserve">   Gap: Training program existe pero limited scope</w:t>
        <w:br/>
        <w:t xml:space="preserve">   Impact: Staff awareness low; phishing click rate 12% (target &lt;8%)</w:t>
        <w:br/>
        <w:t xml:space="preserve">   Acción: Expand curriculum; monthly phishing simulation</w:t>
        <w:br/>
        <w:t xml:space="preserve">   Costo: €50K</w:t>
        <w:br/>
        <w:t xml:space="preserve">   Target: 3.5/5.0 by Jun 2026</w:t>
        <w:br/>
        <w:br/>
        <w:t>3. SEGURIDAD INFORMACIÓN (Módulo 6: Score 2.5)</w:t>
        <w:br/>
        <w:t xml:space="preserve">   ⚠ IMPORTANTE - ART. 9 DORA</w:t>
        <w:br/>
        <w:t xml:space="preserve">   Gap: Encryption coverage only 65% (target 100%)</w:t>
        <w:br/>
        <w:t xml:space="preserve">   Impact: Data at risk; legacy systems unencrypted</w:t>
        <w:br/>
        <w:t xml:space="preserve">   Acción: Encryption roadmap; prioritize critical data</w:t>
        <w:br/>
        <w:t xml:space="preserve">   Costo: €120K</w:t>
        <w:br/>
        <w:t xml:space="preserve">   Target: 3.8/5.0 by Aug 2026</w:t>
        <w:br/>
        <w:br/>
        <w:t>4. RIESGOS TIC (Módulo 2: Score 2.6)</w:t>
        <w:br/>
        <w:t xml:space="preserve">   ⚠ IMPORTANTE - ART. 6 DORA</w:t>
        <w:br/>
        <w:t xml:space="preserve">   Gap: No formal FAIR quantification; ALE not calculated</w:t>
        <w:br/>
        <w:t xml:space="preserve">   Impact: Risk decisions without financial impact data</w:t>
        <w:br/>
        <w:t xml:space="preserve">   Acción: FAIR training Q2; implement ALE methodology</w:t>
        <w:br/>
        <w:t xml:space="preserve">   Costo: €40K</w:t>
        <w:br/>
        <w:t xml:space="preserve">   Target: 3.5/5.0 by May 2026</w:t>
        <w:br/>
      </w:r>
    </w:p>
    <w:p>
      <w:pPr>
        <w:pStyle w:val="Heading3"/>
        <w:keepNext/>
        <w:keepLines/>
      </w:pPr>
      <w:r>
        <w:t>SLIDE 8: Roadmap de Remediación (Gantt)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ROADMAP FASES 1-3 (FEB 2026 - AGO 2026):</w:t>
        <w:br/>
        <w:br/>
        <w:t>FASE 1 (Q1-Q2): CRÍTICOS</w:t>
        <w:br/>
        <w:t>┌─────────────────────────────────────────────────────────────┐</w:t>
        <w:br/>
        <w:t>│ SIEM Deployment (MTTD &lt;15min)           █████████░░░ 75%   │</w:t>
        <w:br/>
        <w:t>│ FAIR Methodology Implementation        ██████░░░░░░░░░░░░  │</w:t>
        <w:br/>
        <w:t>│ Crisis Communication Validation        ██████░░░░░░░░░░░░  │</w:t>
        <w:br/>
        <w:t>│ Vendor Assessment Completion           ██████░░░░░░░░░░░░  │</w:t>
        <w:br/>
        <w:t>│ Presupuesto: €420K                                          │</w:t>
        <w:br/>
        <w:t>│ Target CMI: 3.0 → 3.2 (May 31)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FASE 2 (Q2-Q3): RECOMENDADOS</w:t>
        <w:br/>
        <w:t>┌─────────────────────────────────────────────────────────────┐</w:t>
        <w:br/>
        <w:t>│ Encryption Implementation               ███░░░░░░░░░░░░░░░  │</w:t>
        <w:br/>
        <w:t>│ BC/DR Testing (Tabletop + Site)        ███░░░░░░░░░░░░░░░  │</w:t>
        <w:br/>
        <w:t>│ TLPT Red Team Execution                ███░░░░░░░░░░░░░░░  │</w:t>
        <w:br/>
        <w:t>│ Phishing Simulation Program            ███░░░░░░░░░░░░░░░  │</w:t>
        <w:br/>
        <w:t>│ Presupuesto: €250K                                          │</w:t>
        <w:br/>
        <w:t>│ Target CMI: 3.2 → 3.5 (Jun 30)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FASE 3 (Q3-Q4): DESEABLES</w:t>
        <w:br/>
        <w:t>┌─────────────────────────────────────────────────────────────┐</w:t>
        <w:br/>
        <w:t>│ FAIR Quantification Completion         ██░░░░░░░░░░░░░░░░  │</w:t>
        <w:br/>
        <w:t>│ GRC Platform Enhancement               ██░░░░░░░░░░░░░░░░  │</w:t>
        <w:br/>
        <w:t>│ Board Dashboard Implementation         ██░░░░░░░░░░░░░░░░  │</w:t>
        <w:br/>
        <w:t>│ Presupuesto: €80K                                           │</w:t>
        <w:br/>
        <w:t>│ Target CMI: 3.5 → 3.8 (Aug 31)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TOTAL INVERSIÓN: €730K over 6 meses</w:t>
        <w:br/>
        <w:t>TIMELINE: Feb 2026 - Aug 2026</w:t>
        <w:br/>
        <w:t>READINESS para supervisory audit Q3 2026: PROBABLE APPROVAL</w:t>
        <w:br/>
      </w:r>
    </w:p>
    <w:p>
      <w:pPr>
        <w:pStyle w:val="Heading3"/>
        <w:keepNext/>
        <w:keepLines/>
      </w:pPr>
      <w:r>
        <w:t>SLIDE 9: Análisis Financiero - ALE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ESTIMACIÓN DE IMPACTO ECONÓMICO (ANNUAL LOSS EXPECTANCY):</w:t>
        <w:br/>
        <w:br/>
        <w:t>ESTADO ACTUAL (Sin mejoras):</w:t>
        <w:br/>
        <w:br/>
        <w:t xml:space="preserve">  Tipo Incidente      SLE (€)    ARO (%)    ALE (€)</w:t>
        <w:br/>
        <w:t xml:space="preserve">  ─────────────────────────────────────────────────</w:t>
        <w:br/>
        <w:t xml:space="preserve">  Ransomware          5,650K     15%        847K</w:t>
        <w:br/>
        <w:t xml:space="preserve">  Data Breach         3,200K     8%         256K</w:t>
        <w:br/>
        <w:t xml:space="preserve">  Phishing            800K       25%        200K</w:t>
        <w:br/>
        <w:t xml:space="preserve">  DDoS               1,500K      5%         75K</w:t>
        <w:br/>
        <w:t xml:space="preserve">  Insider Threat      2,100K     3%         63K</w:t>
        <w:br/>
        <w:t xml:space="preserve">  Availability        400K       20%        80K</w:t>
        <w:br/>
        <w:t xml:space="preserve">  ─────────────────────────────────────────────────</w:t>
        <w:br/>
        <w:t xml:space="preserve">  TOTAL ALE ANUAL:                         1,521K €</w:t>
        <w:br/>
        <w:br/>
        <w:t>POST-REMEDIATION (CMI 3.5+):</w:t>
        <w:br/>
        <w:br/>
        <w:t xml:space="preserve">  Ransomware: 15% → 5%                     = 282K</w:t>
        <w:br/>
        <w:t xml:space="preserve">  Data Breach: 8% → 2%                     = 64K</w:t>
        <w:br/>
        <w:t xml:space="preserve">  Phishing: 25% → 10%                      = 80K</w:t>
        <w:br/>
        <w:t xml:space="preserve">  DDoS: 5% → 1%                            = 15K</w:t>
        <w:br/>
        <w:t xml:space="preserve">  Insider: 3% → 1%                         = 21K</w:t>
        <w:br/>
        <w:t xml:space="preserve">  Availability: 20% → 5%                   = 20K</w:t>
        <w:br/>
        <w:t xml:space="preserve">  ─────────────────────────────────────────────────</w:t>
        <w:br/>
        <w:t xml:space="preserve">  TOTAL ALE POST-REMEDIATION:              482K €</w:t>
        <w:br/>
        <w:br/>
        <w:t>ANNUAL BENEFIT: 1,521K - 482K = €1,039K saved per year</w:t>
        <w:br/>
      </w:r>
    </w:p>
    <w:p>
      <w:pPr>
        <w:pStyle w:val="Heading3"/>
        <w:keepNext/>
        <w:keepLines/>
      </w:pPr>
      <w:r>
        <w:t>SLIDE 10: ROI / ROSI Justificación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RETORNO EN SEGURIDAD (ROSI) - ANÁLISIS DE INVERSIÓN:</w:t>
        <w:br/>
        <w:br/>
        <w:t>Inversión Total:        €730K (2026, fases 1-3)</w:t>
        <w:br/>
        <w:t>Beneficio Anual:        €1,039K (ALE reduction)</w:t>
        <w:br/>
        <w:t>─────────────────────────────────────────────────</w:t>
        <w:br/>
        <w:t>ROSI Portfolio:         242% en año 1</w:t>
        <w:br/>
        <w:t>Payback Period:         8.4 meses (promedio)</w:t>
        <w:br/>
        <w:br/>
        <w:t>DESGLOSE POR INICIATIVA:</w:t>
        <w:br/>
        <w:br/>
        <w:t xml:space="preserve">  Iniciativa              Costo    ROSI    Payback</w:t>
        <w:br/>
        <w:t xml:space="preserve">  ──────────────────────────────────────────────</w:t>
        <w:br/>
        <w:t xml:space="preserve">  SIEM                    €150K    280%    6.3m</w:t>
        <w:br/>
        <w:t xml:space="preserve">  FAIR Quantification     €40K     400%    2.4m</w:t>
        <w:br/>
        <w:t xml:space="preserve">  Vulnerability Scanning  €60K     400%    2.4m</w:t>
        <w:br/>
        <w:t xml:space="preserve">  TLPT Red Team           €200K    483%    4.1m</w:t>
        <w:br/>
        <w:t xml:space="preserve">  Encryption Program      €120K    165%    8.6m</w:t>
        <w:br/>
        <w:t xml:space="preserve">  BC/DR Testing           €80K     140%    8.5m</w:t>
        <w:br/>
        <w:t xml:space="preserve">  Phishing Simulation     €50K     190%    3.1m</w:t>
        <w:br/>
        <w:t xml:space="preserve">  Otros                   €30K     175%    4.2m</w:t>
        <w:br/>
        <w:br/>
        <w:t>CONCLUSIÓN:</w:t>
        <w:br/>
        <w:t xml:space="preserve">  ✓ ROI positivo en TODAS iniciativas</w:t>
        <w:br/>
        <w:t xml:space="preserve">  ✓ Payback promedio 5.3 meses</w:t>
        <w:br/>
        <w:t xml:space="preserve">  ✓ Portfolio ROSI 242% año 1 → EXCELENTE</w:t>
        <w:br/>
        <w:t xml:space="preserve">  ✓ RECOMENDACIÓN: Aprobar presupuesto €730K</w:t>
        <w:br/>
      </w:r>
    </w:p>
    <w:p>
      <w:pPr>
        <w:pStyle w:val="Heading3"/>
        <w:keepNext/>
        <w:keepLines/>
      </w:pPr>
      <w:r>
        <w:t>SLIDE 11: Recomendaciones y Acciones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RECOMENDACIONES PARA JUNTA DIRECTIVA:</w:t>
        <w:br/>
        <w:br/>
        <w:t>1. APROBAR PRESUPUESTO FASE 1: €420K (Q1-Q2 2026)</w:t>
        <w:br/>
        <w:t xml:space="preserve">   Iniciativas: SIEM, FAIR, Crisis Comm, Vendors</w:t>
        <w:br/>
        <w:t xml:space="preserve">   Justificación: ROSI 280%+ promedio; DORA compliance crítico</w:t>
        <w:br/>
        <w:t xml:space="preserve">   Motion: "La Junta autoriza gasto €420K para ciberseguridad crítica"</w:t>
        <w:br/>
        <w:br/>
        <w:t>2. DELEGAR EJECUCIÓN A CISO + PMO</w:t>
        <w:br/>
        <w:t xml:space="preserve">   Responsables: CISO (technical), CRO (governance), PMO (delivery)</w:t>
        <w:br/>
        <w:t xml:space="preserve">   Reporte: Mensual a CRO; trimestral a Junta</w:t>
        <w:br/>
        <w:t xml:space="preserve">   Motion: "Junta asigna responsabilidad CISO+CRO con empoderamientom"</w:t>
        <w:br/>
        <w:br/>
        <w:t>3. ESTABLECER OBJETIVOS CMI</w:t>
        <w:br/>
        <w:t xml:space="preserve">   Target Q3 2026: CMI 3.5/5.0 (preparación auditoría)</w:t>
        <w:br/>
        <w:t xml:space="preserve">   Target Q4 2026: CMI 3.8/5.0 (excelencia)</w:t>
        <w:br/>
        <w:t xml:space="preserve">   Motion: "Junta aprueba targets CMI 3.5 (Q3) y 3.8 (Q4)"</w:t>
        <w:br/>
        <w:br/>
        <w:t>4. SUPERVISORY READINESS</w:t>
        <w:br/>
        <w:t xml:space="preserve">   Auditoría probable: Q3 2026 (CNMV/Banco de España)</w:t>
        <w:br/>
        <w:t xml:space="preserve">   Preparación: Documentación completa + evidencia gathering</w:t>
        <w:br/>
        <w:t xml:space="preserve">   Motion: Implicit en aprobación presupuesto</w:t>
        <w:br/>
        <w:br/>
        <w:t>5. GOVERNANCE FRAMEWORK</w:t>
        <w:br/>
        <w:t xml:space="preserve">   Reportes: Trimestral a Junta; mensual a CRO</w:t>
        <w:br/>
        <w:t xml:space="preserve">   Escalación: CMI &lt;2.8 = inmediata alerta; &gt;4.0 = celebración</w:t>
        <w:br/>
        <w:t xml:space="preserve">   Motion: Implicit en assignment de responsables</w:t>
        <w:br/>
      </w:r>
    </w:p>
    <w:p>
      <w:pPr>
        <w:pStyle w:val="Heading3"/>
        <w:keepNext/>
        <w:keepLines/>
      </w:pPr>
      <w:r>
        <w:t>SLIDE 12: Cierre y Decisión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RESUMEN EJECUTIVO:</w:t>
        <w:br/>
        <w:br/>
        <w:t xml:space="preserve">  ✓ CMI Actual: 2.8/5.0 (MANAGED - Developing)</w:t>
        <w:br/>
        <w:t xml:space="preserve">  ✓ Encuesta Exhaustiva: 128 preguntas; 8 módulos; 100% DORA coverage</w:t>
        <w:br/>
        <w:t xml:space="preserve">  ✓ Gaps Identificados: Prioridades claras; remediación planificada</w:t>
        <w:br/>
        <w:t xml:space="preserve">  ✓ Roadmap Definido: 3 fases; 6 meses; €730K presupuesto</w:t>
        <w:br/>
        <w:t xml:space="preserve">  ✓ ROI Justificado: 242% ROSI; 8.4 meses payback; €1M+ ALE reduction</w:t>
        <w:br/>
        <w:t xml:space="preserve">  ✓ Supervisory Readiness: Probable aprobación Q3 2026</w:t>
        <w:br/>
        <w:br/>
        <w:t>DECISIONES REQUERIDAS HOY:</w:t>
        <w:br/>
        <w:br/>
        <w:t xml:space="preserve">  [ ] Motion 1: Aprobar €420K Fase 1 presupuesto</w:t>
        <w:br/>
        <w:t xml:space="preserve">  [ ] Motion 2: Delegar CISO+CRO con empoderamientom</w:t>
        <w:br/>
        <w:t xml:space="preserve">  [ ] Motion 3: Establecer targets CMI 3.5/3.8</w:t>
        <w:br/>
        <w:t xml:space="preserve">  [ ] Motion 4: Acepar reportes trimestral</w:t>
        <w:br/>
        <w:br/>
        <w:t>PRÓXIMOS PASOS:</w:t>
        <w:br/>
        <w:br/>
        <w:t xml:space="preserve">  • Feb 15:  Fase 1 kickoff; SIEM vendor selection</w:t>
        <w:br/>
        <w:t xml:space="preserve">  • Feb 28:  FAIR training iniciación</w:t>
        <w:br/>
        <w:t xml:space="preserve">  • Mar 31:  Crisis comm validation completada</w:t>
        <w:br/>
        <w:t xml:space="preserve">  • May 31:  SIEM operativo; MTTD &lt;15min target</w:t>
        <w:br/>
        <w:t xml:space="preserve">  • Jun 30:  TLPT execution + Vendor assessments</w:t>
        <w:br/>
        <w:t xml:space="preserve">  • Aug 31:  Resiliencia testing; CMI target 3.8</w:t>
        <w:br/>
        <w:t xml:space="preserve">  • Q3 2026: Supervisory audit (readiness: YES)</w:t>
        <w:br/>
        <w:br/>
        <w:t>¿PREGUNTAS?</w:t>
        <w:br/>
        <w:br/>
        <w:t>[Contacto CISO/CRO para detalles técnicos]</w:t>
        <w:br/>
      </w:r>
    </w:p>
    <w:p>
      <w:pPr>
        <w:pStyle w:val="Heading2"/>
        <w:keepNext/>
        <w:keepLines/>
      </w:pPr>
      <w:r>
        <w:rPr>
          <w:color w:val="0066CC"/>
        </w:rPr>
        <w:t>GUÍA DE DISEÑO</w:t>
      </w:r>
    </w:p>
    <w:p>
      <w:pPr>
        <w:pStyle w:val="Heading3"/>
        <w:keepNext/>
        <w:keepLines/>
      </w:pPr>
      <w:r>
        <w:t>Colores:</w:t>
      </w:r>
    </w:p>
    <w:p>
      <w:pPr>
        <w:pStyle w:val="ListBullet"/>
        <w:keepLines w:val="1"/>
        <w:keepNext w:val="1"/>
        <w:widowControl w:val="1"/>
      </w:pPr>
      <w:r>
        <w:t>Primario: Azul corporativo (seguridad)</w:t>
      </w:r>
    </w:p>
    <w:p>
      <w:pPr>
        <w:pStyle w:val="ListBullet"/>
        <w:keepLines w:val="1"/>
        <w:keepNext w:val="1"/>
        <w:widowControl w:val="1"/>
      </w:pPr>
      <w:r>
        <w:t>Acentos: Verde (success/approval) + Rojo (critical gaps)</w:t>
      </w:r>
    </w:p>
    <w:p>
      <w:pPr>
        <w:pStyle w:val="ListBullet"/>
        <w:keepLines w:val="1"/>
        <w:widowControl w:val="1"/>
      </w:pPr>
      <w:r>
        <w:t>Neutro: Gris (background)</w:t>
      </w:r>
    </w:p>
    <w:p>
      <w:pPr>
        <w:pStyle w:val="Heading3"/>
        <w:keepNext/>
        <w:keepLines/>
      </w:pPr>
      <w:r>
        <w:t>Tipografía:</w:t>
      </w:r>
    </w:p>
    <w:p>
      <w:pPr>
        <w:pStyle w:val="ListBullet"/>
        <w:keepLines w:val="1"/>
        <w:keepNext w:val="1"/>
        <w:widowControl w:val="1"/>
      </w:pPr>
      <w:r>
        <w:t>Títulos: Calibri Bold 28-32pt</w:t>
      </w:r>
    </w:p>
    <w:p>
      <w:pPr>
        <w:pStyle w:val="ListBullet"/>
        <w:keepLines w:val="1"/>
        <w:keepNext w:val="1"/>
        <w:widowControl w:val="1"/>
      </w:pPr>
      <w:r>
        <w:t>Body: Calibri 12-14pt</w:t>
      </w:r>
    </w:p>
    <w:p>
      <w:pPr>
        <w:pStyle w:val="ListBullet"/>
        <w:keepLines w:val="1"/>
        <w:widowControl w:val="1"/>
      </w:pPr>
      <w:r>
        <w:t>Datos: Calibri 11pt monospace</w:t>
      </w:r>
    </w:p>
    <w:p>
      <w:pPr>
        <w:pStyle w:val="Heading3"/>
        <w:keepNext/>
        <w:keepLines/>
      </w:pPr>
      <w:r>
        <w:t>Elementos Recurrentes:</w:t>
      </w:r>
    </w:p>
    <w:p>
      <w:pPr>
        <w:pStyle w:val="ListBullet"/>
        <w:keepLines w:val="1"/>
        <w:keepNext w:val="1"/>
        <w:widowControl w:val="1"/>
      </w:pPr>
      <w:r>
        <w:t>Logos institución + DORA (top left/right)</w:t>
      </w:r>
    </w:p>
    <w:p>
      <w:pPr>
        <w:pStyle w:val="ListBullet"/>
        <w:keepLines w:val="1"/>
        <w:keepNext w:val="1"/>
        <w:widowControl w:val="1"/>
      </w:pPr>
      <w:r>
        <w:t>Footer: "Confidencial | Junta Directiva | Pág X"</w:t>
      </w:r>
    </w:p>
    <w:p>
      <w:pPr>
        <w:pStyle w:val="ListBullet"/>
        <w:keepLines w:val="1"/>
        <w:widowControl w:val="1"/>
      </w:pPr>
      <w:r>
        <w:t>Iconos: Check (✓), Warning (⚠), Critical (⚠⚠), Star (★)</w:t>
      </w:r>
    </w:p>
    <w:p>
      <w:r>
        <w:rPr>
          <w:b/>
        </w:rPr>
        <w:t>Fin de la Plantilla PowerPoint</w:t>
      </w:r>
    </w:p>
    <w:p>
      <w:r>
        <w:rPr>
          <w:i/>
        </w:rPr>
        <w:t>Enero 2026 — Presentación Resultados Encuesta DORA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