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REPORTE EJECUTIVO EN POWERPOINT</w:t>
      </w:r>
    </w:p>
    <w:p>
      <w:pPr>
        <w:pStyle w:val="Heading2"/>
        <w:keepNext/>
        <w:keepLines/>
      </w:pPr>
      <w:r>
        <w:rPr>
          <w:color w:val="0066CC"/>
        </w:rPr>
        <w:t>Formato de Presentación para Junta Directiva y Supervisores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Clasificación:</w:t>
      </w:r>
      <w:r>
        <w:t xml:space="preserve"> Profesional — Presentación Estratégica</w:t>
      </w:r>
      <w:r/>
      <w:r>
        <w:br/>
      </w:r>
      <w:r>
        <w:rPr>
          <w:b/>
        </w:rPr>
        <w:t>Formato:</w:t>
      </w:r>
      <w:r>
        <w:t xml:space="preserve"> Estructura PowerPoint con Guía de Contenidos  </w:t>
      </w:r>
    </w:p>
    <w:p>
      <w:pPr>
        <w:pStyle w:val="Heading2"/>
        <w:keepNext/>
        <w:keepLines/>
      </w:pPr>
      <w:r>
        <w:rPr>
          <w:color w:val="0066CC"/>
        </w:rPr>
        <w:t>INTRODUCCIÓN</w:t>
      </w:r>
    </w:p>
    <w:p>
      <w:r>
        <w:t xml:space="preserve">Esta plantilla describe la estructura completa de un </w:t>
      </w:r>
      <w:r>
        <w:rPr>
          <w:b/>
        </w:rPr>
        <w:t>Reporte Ejecutivo en PowerPoint</w:t>
      </w:r>
      <w:r>
        <w:t xml:space="preserve"> para presentar resultados DORA+GQM+PRAGMATIC a:</w:t>
      </w:r>
      <w:r/>
      <w:r>
        <w:br/>
        <w:t>- Junta Directiva</w:t>
      </w:r>
      <w:r/>
      <w:r>
        <w:br/>
        <w:t>- CRO / Consejo de Riesgo</w:t>
      </w:r>
      <w:r/>
      <w:r>
        <w:br/>
        <w:t>- Supervisores (CNMV, Banco de España)</w:t>
      </w:r>
      <w:r/>
      <w:r>
        <w:br/>
        <w:t>- Comités especializados (Audit, Risk)</w:t>
      </w:r>
    </w:p>
    <w:p>
      <w:r>
        <w:rPr>
          <w:b/>
        </w:rPr>
        <w:t>Duración presentación:</w:t>
      </w:r>
      <w:r>
        <w:t xml:space="preserve"> 20-30 minutos core + Q&amp;A</w:t>
      </w:r>
    </w:p>
    <w:p>
      <w:pPr>
        <w:pStyle w:val="Heading2"/>
        <w:keepNext/>
        <w:keepLines/>
      </w:pPr>
      <w:r>
        <w:rPr>
          <w:color w:val="0066CC"/>
        </w:rPr>
        <w:t>ESTRUCTURA: 15 SLIDES</w:t>
      </w:r>
    </w:p>
    <w:p>
      <w:pPr>
        <w:pStyle w:val="Heading3"/>
        <w:keepNext/>
        <w:keepLines/>
      </w:pPr>
      <w:r>
        <w:t>SLIDE 1: Portada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                                       │</w:t>
        <w:br/>
        <w:t>│     RESILIENCIA OPERATIVA DIGITAL (DORA)                │</w:t>
        <w:br/>
        <w:t>│                      REPORTE Q1 2026                     │</w:t>
        <w:br/>
        <w:t>│                                                           │</w:t>
        <w:br/>
        <w:t>│                    Estado de Cumplimiento                │</w:t>
        <w:br/>
        <w:t>│              Ciberseguridad e Indicadores Clave          │</w:t>
        <w:br/>
        <w:t>│                                                           │</w:t>
        <w:br/>
        <w:t>│                                                           │</w:t>
        <w:br/>
        <w:t>│    [Logo Institución]              [Logo DORA]          │</w:t>
        <w:br/>
        <w:t>│                                                           │</w:t>
        <w:br/>
        <w:t>│                    Enero 20, 2026                        │</w:t>
        <w:br/>
        <w:t>│              Presentado a: Junta Directiva               │</w:t>
        <w:br/>
        <w:t>│  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Elementos:</w:t>
      </w:r>
      <w:r/>
      <w:r>
        <w:br/>
        <w:t>- Logo institución (arriba izquierda)</w:t>
      </w:r>
      <w:r/>
      <w:r>
        <w:br/>
        <w:t>- Título grande (centrado)</w:t>
      </w:r>
      <w:r/>
      <w:r>
        <w:br/>
        <w:t>- Período de reporte (Q1 2026)</w:t>
      </w:r>
      <w:r/>
      <w:r>
        <w:br/>
        <w:t>- Fecha y audiencia (abajo)</w:t>
      </w:r>
      <w:r/>
      <w:r>
        <w:br/>
        <w:t>- Fondo profesional (colores corporativos + azul DORA)</w:t>
      </w:r>
    </w:p>
    <w:p>
      <w:pPr>
        <w:pStyle w:val="Heading3"/>
        <w:keepNext/>
        <w:keepLines/>
      </w:pPr>
      <w:r>
        <w:t>SLIDE 2: Agenda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CONTEXTO REGULATORIO: DORA en España</w:t>
        <w:br/>
        <w:t xml:space="preserve">   ↓ Calendario compliance; supervisory focus</w:t>
        <w:br/>
        <w:br/>
        <w:t>2. ESTADO ACTUAL: Índice de Gestión de Madurez (IGM)</w:t>
        <w:br/>
        <w:t xml:space="preserve">   ↓ Score actual 3.0/5.0; tendencia positiva</w:t>
        <w:br/>
        <w:br/>
        <w:t>3. DESCOMPOSICIÓN POR PILAR DORA</w:t>
        <w:br/>
        <w:t xml:space="preserve">   ↓ Gobernanza, Riesgos, Incidentes, Resiliencia, Terceros</w:t>
        <w:br/>
        <w:br/>
        <w:t>4. INDICADORES CLAVE &amp; GAPS</w:t>
        <w:br/>
        <w:t xml:space="preserve">   ↓ MTTD, Patch Rate, Vendor Coverage, etc.</w:t>
        <w:br/>
        <w:br/>
        <w:t>5. ANÁLISIS FINANCIERO: ROI &amp; ALE Reduction</w:t>
        <w:br/>
        <w:t xml:space="preserve">   ↓ Inversión Q1-Q3 2026; payback 6+ meses</w:t>
        <w:br/>
        <w:br/>
        <w:t>6. ROADMAP IMPLEMENTACIÓN</w:t>
        <w:br/>
        <w:t xml:space="preserve">   ↓ Fase 1-3; timelines; responsables</w:t>
        <w:br/>
        <w:br/>
        <w:t>7. RECOMENDACIONES &amp; ACCIONES INMEDIATAS</w:t>
        <w:br/>
      </w:r>
    </w:p>
    <w:p>
      <w:r>
        <w:rPr>
          <w:b/>
        </w:rPr>
        <w:t>Diseño:</w:t>
      </w:r>
      <w:r>
        <w:t xml:space="preserve"> Viñetas numeradas; iconos por tema; colores diferenciados.</w:t>
      </w:r>
    </w:p>
    <w:p>
      <w:pPr>
        <w:pStyle w:val="Heading3"/>
        <w:keepNext/>
        <w:keepLines/>
      </w:pPr>
      <w:r>
        <w:t>SLIDE 3: Contexto Regulatorio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DIGITAL OPERATIONAL RESILIENCE ACT (DORA) - EU 2022/2554</w:t>
        <w:br/>
        <w:t>───────────────────────────────────────────────────────────</w:t>
        <w:br/>
        <w:br/>
        <w:t>AUDIENCIA: Instituciones Financieras Españolas</w:t>
        <w:br/>
        <w:t xml:space="preserve">  • Bancos</w:t>
        <w:br/>
        <w:t xml:space="preserve">  • Aseguradoras  </w:t>
        <w:br/>
        <w:t xml:space="preserve">  • Gestoras (Asset Managers)</w:t>
        <w:br/>
        <w:t xml:space="preserve">  • Proveedores de servicios críticos</w:t>
        <w:br/>
        <w:br/>
        <w:t>DEADLINE: Enero 2025 (aplicable)</w:t>
        <w:br/>
        <w:t xml:space="preserve">  • Supervisory audits: Q2-Q3 2026 (CNMV, Banco de España)</w:t>
        <w:br/>
        <w:br/>
        <w:t>REQUISITOS CLAVE:</w:t>
        <w:br/>
        <w:t xml:space="preserve">  ✓ ICT Risk Management Framework (Art. 6-10)</w:t>
        <w:br/>
        <w:t xml:space="preserve">  ✓ Incident Detection &lt;15 minutos (Art. 18-20)</w:t>
        <w:br/>
        <w:t xml:space="preserve">  ✓ Incident Notification ≤4 horas (Art. 19)</w:t>
        <w:br/>
        <w:t xml:space="preserve">  ✓ Third-party Risk Management (Art. 28-30)</w:t>
        <w:br/>
        <w:t xml:space="preserve">  ✓ Resilience Testing (Annual TLPT) (Art. 26)</w:t>
        <w:br/>
        <w:t xml:space="preserve">  ✓ Threat-Led Penetration Testing Bienal (Art. 26)</w:t>
        <w:br/>
      </w:r>
    </w:p>
    <w:p>
      <w:r>
        <w:rPr>
          <w:b/>
        </w:rPr>
        <w:t>Elementos visuales:</w:t>
      </w:r>
      <w:r/>
      <w:r>
        <w:br/>
        <w:t>- Timeline horizontal: 2025 → 2026 Audits → 2027 Assessment</w:t>
      </w:r>
      <w:r/>
      <w:r>
        <w:br/>
        <w:t>- Iconos para 5 pilares DORA</w:t>
      </w:r>
      <w:r/>
      <w:r>
        <w:br/>
        <w:t>- Benchmark: EU average maturity 2.8/5.0 (España está alineada)</w:t>
      </w:r>
    </w:p>
    <w:p>
      <w:pPr>
        <w:pStyle w:val="Heading3"/>
        <w:keepNext/>
        <w:keepLines/>
      </w:pPr>
      <w:r>
        <w:t>SLIDE 4: IGM Dashboard - Estado Actual</w:t>
      </w:r>
    </w:p>
    <w:p>
      <w:r>
        <w:rPr>
          <w:b/>
        </w:rPr>
        <w:t>Contenido (Gráfico Radar):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                      IGM CONSOLIDADO</w:t>
        <w:br/>
        <w:t xml:space="preserve">                      Q1 2026: 3.0/5.0 (MANAGED)</w:t>
        <w:br/>
        <w:br/>
        <w:t xml:space="preserve">              ╱─────────────────────╲</w:t>
        <w:br/>
        <w:t xml:space="preserve">           ╱    Gobernanza 3.2      ╲</w:t>
        <w:br/>
        <w:t xml:space="preserve">          │                          │</w:t>
        <w:br/>
        <w:t xml:space="preserve">      Terceros                    Riesgos</w:t>
        <w:br/>
        <w:t xml:space="preserve">      2.6  │──────────┼──────────│  2.8</w:t>
        <w:br/>
        <w:t xml:space="preserve">          │                          │</w:t>
        <w:br/>
        <w:t xml:space="preserve">           ╲     Incidentes 3.5    ╱</w:t>
        <w:br/>
        <w:t xml:space="preserve">             ╲    Resiliencia 2.9 ╱</w:t>
        <w:br/>
        <w:t xml:space="preserve">               ╲─────────────────╱</w:t>
        <w:br/>
        <w:br/>
        <w:t>TENDENCIA:  Q4 2025: 2.85 → Q1 2026: 3.0 (+5.3%)</w:t>
        <w:br/>
        <w:t>OBJETIVO:   Q3 2026: 3.5 (INTEGRATED)</w:t>
        <w:br/>
        <w:t xml:space="preserve">            Q4 2026: 3.8 (OPTIMIZING)</w:t>
        <w:br/>
        <w:br/>
        <w:t>STATUS: ON-TRACK (Fase 1 iniciativas approved)</w:t>
        <w:br/>
      </w:r>
    </w:p>
    <w:p>
      <w:r>
        <w:rPr>
          <w:b/>
        </w:rPr>
        <w:t>Elementos:</w:t>
      </w:r>
      <w:r/>
      <w:r>
        <w:br/>
        <w:t>- Gráfico radar 5-pilares (editable)</w:t>
      </w:r>
      <w:r/>
      <w:r>
        <w:br/>
        <w:t>- Escala color: Red (1-2) / Yellow (2-3) / Green (3-4) / Blue (4-5)</w:t>
      </w:r>
      <w:r/>
      <w:r>
        <w:br/>
        <w:t>- Tendencia flecha (positiva)</w:t>
      </w:r>
      <w:r/>
      <w:r>
        <w:br/>
        <w:t>- Benchmarks industria</w:t>
      </w:r>
    </w:p>
    <w:p>
      <w:pPr>
        <w:pStyle w:val="Heading3"/>
        <w:keepNext/>
        <w:keepLines/>
      </w:pPr>
      <w:r>
        <w:t>SLIDE 5: Pilar 1 - Gobernanza (Score 3.2)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GOBERNANZA Y RESPONSABILIDAD INSTITUCIONAL</w:t>
        <w:br/>
        <w:br/>
        <w:t>Indicadores:</w:t>
        <w:br/>
        <w:t xml:space="preserve">  ✓ Board Awareness Training:        100% (Q1 2026 completed)</w:t>
        <w:br/>
        <w:t xml:space="preserve">  ✓ CISO Designation:                Formal role established</w:t>
        <w:br/>
        <w:t xml:space="preserve">  ✓ Reportes Junta (Trimestral):     On-track (próx. informe Feb)</w:t>
        <w:br/>
        <w:br/>
        <w:t>Gaps Identificados:</w:t>
        <w:br/>
        <w:t xml:space="preserve">  ⚠ Governance Policy (DORA-aligned):  Needs update (deadline Mar 31)</w:t>
        <w:br/>
        <w:t xml:space="preserve">  ⚠ Risk Appetite Framework:          Developing (Q2 2026 target)</w:t>
        <w:br/>
        <w:t xml:space="preserve">  ⚠ Incident Escalation Procedures:   Refinement required</w:t>
        <w:br/>
        <w:br/>
        <w:t>Score Breakdown:</w:t>
        <w:br/>
        <w:t xml:space="preserve">  Board Awareness:           5/5 ✓</w:t>
        <w:br/>
        <w:t xml:space="preserve">  CISO/CRO Roles:           4/5</w:t>
        <w:br/>
        <w:t xml:space="preserve">  Governance Documentation:  3/5 ⚠</w:t>
        <w:br/>
        <w:t xml:space="preserve">  Oversight Procedures:      2/5 ⚠</w:t>
        <w:br/>
        <w:t xml:space="preserve">  ─────────────────────</w:t>
        <w:br/>
        <w:t xml:space="preserve">  PROMEDIO:                 3.2/5</w:t>
        <w:br/>
        <w:br/>
        <w:t>ACCIONES INMEDIATAS:</w:t>
        <w:br/>
        <w:t xml:space="preserve">  → Actualizar Governance Policy (Responsable: CRO, Deadline: Mar 15)</w:t>
        <w:br/>
        <w:t xml:space="preserve">  → Formalizar Risk Appetite Framework (Timeline: Q2 2026)</w:t>
        <w:br/>
      </w:r>
    </w:p>
    <w:p>
      <w:r>
        <w:rPr>
          <w:b/>
        </w:rPr>
        <w:t>Elementos visuales:</w:t>
      </w:r>
      <w:r/>
      <w:r>
        <w:br/>
        <w:t>- Mini gráfico de barras (5 indicadores)</w:t>
      </w:r>
      <w:r/>
      <w:r>
        <w:br/>
        <w:t>- Checkmarks verdes (cumplido)</w:t>
      </w:r>
      <w:r/>
      <w:r>
        <w:br/>
        <w:t>- Triángulos amarillos (warning)</w:t>
      </w:r>
      <w:r/>
      <w:r>
        <w:br/>
        <w:t>- Action items con dueño + deadline</w:t>
      </w:r>
    </w:p>
    <w:p>
      <w:pPr>
        <w:pStyle w:val="Heading3"/>
        <w:keepNext/>
        <w:keepLines/>
      </w:pPr>
      <w:r>
        <w:t>SLIDE 6: Pilar 2 - Riesgos TIC (Score 2.8)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GESTIÓN DE RIESGOS TIC</w:t>
        <w:br/>
        <w:br/>
        <w:t>Indicadores Clave:</w:t>
        <w:br/>
        <w:t xml:space="preserve">  Vulnerability Assessment:      85% coverage (Gap: 15% legacy systems)</w:t>
        <w:br/>
        <w:t xml:space="preserve">  Patch Rate (CVSS ≥7):          88% within 30d (Target: 100%)</w:t>
        <w:br/>
        <w:t xml:space="preserve">  Risk Quantification (FAIR):    25% formalized (Target: 80%)</w:t>
        <w:br/>
        <w:br/>
        <w:t>Score Breakdown:</w:t>
        <w:br/>
        <w:t xml:space="preserve">  Risk Framework:               3/5</w:t>
        <w:br/>
        <w:t xml:space="preserve">  Vulnerability Mgmt:           3/5</w:t>
        <w:br/>
        <w:t xml:space="preserve">  Quantification (FAIR/ALE):    2/5 ⚠ PRIORITY</w:t>
        <w:br/>
        <w:t xml:space="preserve">  Controls Assessment:          3/5</w:t>
        <w:br/>
        <w:t xml:space="preserve">  ─────────────────────</w:t>
        <w:br/>
        <w:t xml:space="preserve">  PROMEDIO:                     2.8/5</w:t>
        <w:br/>
        <w:br/>
        <w:t>GAP ANALYSIS (vs DORA Art. 6-8):</w:t>
        <w:br/>
        <w:t xml:space="preserve">  Missing: Formal FAIR methodology for risk quantification</w:t>
        <w:br/>
        <w:t xml:space="preserve">  Missing: Annual risk evaluation per DORA RTS</w:t>
        <w:br/>
        <w:br/>
        <w:t>INVERSIÓN REQUERIDA (Fase 1):</w:t>
        <w:br/>
        <w:t xml:space="preserve">  → FAIR implementation training: €40K (Q2 2026)</w:t>
        <w:br/>
        <w:t xml:space="preserve">  → Risk quantification tools: €30K (Q2 2026)</w:t>
        <w:br/>
        <w:t xml:space="preserve">  → Expected improvement: +0.7 score (→ 3.5 by Q3)</w:t>
        <w:br/>
      </w:r>
    </w:p>
    <w:p>
      <w:r>
        <w:rPr>
          <w:b/>
        </w:rPr>
        <w:t>Elementos:</w:t>
      </w:r>
      <w:r/>
      <w:r>
        <w:br/>
        <w:t>- Gauge chart mostrando 85% vulnerability coverage vs 100% target</w:t>
      </w:r>
      <w:r/>
      <w:r>
        <w:br/>
        <w:t>- Heatmap de riesgos (colores)</w:t>
      </w:r>
      <w:r/>
      <w:r>
        <w:br/>
        <w:t>- Tabla DORA Art mapping</w:t>
      </w:r>
    </w:p>
    <w:p>
      <w:pPr>
        <w:pStyle w:val="Heading3"/>
        <w:keepNext/>
        <w:keepLines/>
      </w:pPr>
      <w:r>
        <w:t>SLIDE 7: Pilar 3 - Gestión Incidentes (Score 3.5)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GESTIÓN Y NOTIFICACIÓN DE INCIDENTES</w:t>
        <w:br/>
        <w:br/>
        <w:t>KPIs Principales:</w:t>
        <w:br/>
        <w:t xml:space="preserve">  MTTD (Mean Time To Detect):           18 min (Target: &lt;15 min)</w:t>
        <w:br/>
        <w:t xml:space="preserve">  Incident Notification Compliance:     100% &lt;4h (2/2 incidents Q1)</w:t>
        <w:br/>
        <w:t xml:space="preserve">  SLA Achievement:                      92% (Target: 95%+)</w:t>
        <w:br/>
        <w:br/>
        <w:t>SIEM Status: ✓ Operativo desde Q4 2025</w:t>
        <w:br/>
        <w:t xml:space="preserve">  → 45,000 EPS (events per second)</w:t>
        <w:br/>
        <w:t xml:space="preserve">  → Alert rules: 185 configured (vs 150 target)</w:t>
        <w:br/>
        <w:t xml:space="preserve">  → False positive rate: 8.2% (Target: &lt;5%)</w:t>
        <w:br/>
        <w:br/>
        <w:t>Score Breakdown:</w:t>
        <w:br/>
        <w:t xml:space="preserve">  MTTD Performance:            3/5 (Close to target)</w:t>
        <w:br/>
        <w:t xml:space="preserve">  Detection Coverage:          4/5</w:t>
        <w:br/>
        <w:t xml:space="preserve">  Notification Compliance:     5/5 ✓</w:t>
        <w:br/>
        <w:t xml:space="preserve">  Response SLA:                3/5</w:t>
        <w:br/>
        <w:t xml:space="preserve">  ─────────────────────</w:t>
        <w:br/>
        <w:t xml:space="preserve">  PROMEDIO:                    3.5/5</w:t>
        <w:br/>
        <w:br/>
        <w:t>ACCIONES PRÓXIMAS:</w:t>
        <w:br/>
        <w:t xml:space="preserve">  → Tune SIEM rules (reduce FPR 8.2% → 5%) - Q1 ongoing</w:t>
        <w:br/>
        <w:t xml:space="preserve">  → Target: MTTD &lt;15 min by end Q1 2026</w:t>
        <w:br/>
      </w:r>
    </w:p>
    <w:p>
      <w:r>
        <w:rPr>
          <w:b/>
        </w:rPr>
        <w:t>Elementos:</w:t>
      </w:r>
      <w:r/>
      <w:r>
        <w:br/>
        <w:t>- Trending line chart: MTTD histórico (16m → 18m → Target 15m)</w:t>
      </w:r>
      <w:r/>
      <w:r>
        <w:br/>
        <w:t>- Alert volume gauge</w:t>
      </w:r>
      <w:r/>
      <w:r>
        <w:br/>
        <w:t>- Notification timeline visualization</w:t>
      </w:r>
    </w:p>
    <w:p>
      <w:pPr>
        <w:pStyle w:val="Heading3"/>
        <w:keepNext/>
        <w:keepLines/>
      </w:pPr>
      <w:r>
        <w:t>SLIDE 8: Pilar 4 - Resiliencia Operativa (Score 2.9)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PRUEBAS Y RESILIENCIA OPERATIVA</w:t>
        <w:br/>
        <w:br/>
        <w:t>Testing Status:</w:t>
        <w:br/>
        <w:t xml:space="preserve">  Business Continuity Tests:    ✓ 2/2 tablettops completed (2025)</w:t>
        <w:br/>
        <w:t xml:space="preserve">  DR Site Activation:           Pending (Scheduled Q2 2026)</w:t>
        <w:br/>
        <w:t xml:space="preserve">  TLPT (Threat-Led Pen Test):   Contracted, execution Q2 2026</w:t>
        <w:br/>
        <w:br/>
        <w:t>TLPT Details:</w:t>
        <w:br/>
        <w:t xml:space="preserve">  Red Team: TIBER-EU certified</w:t>
        <w:br/>
        <w:t xml:space="preserve">  Scope: 85% critical systems (Target: 100%)</w:t>
        <w:br/>
        <w:t xml:space="preserve">  Findings expected: Q3 2026</w:t>
        <w:br/>
        <w:br/>
        <w:t>Score Breakdown:</w:t>
        <w:br/>
        <w:t xml:space="preserve">  Testing Cadence:              2/5 ⚠</w:t>
        <w:br/>
        <w:t xml:space="preserve">  BCP/DRP Effectiveness:        3/5</w:t>
        <w:br/>
        <w:t xml:space="preserve">  TLPT Execution:               3/5 (Scheduled)</w:t>
        <w:br/>
        <w:t xml:space="preserve">  Recovery Time Validation:     3/5</w:t>
        <w:br/>
        <w:t xml:space="preserve">  ─────────────────────</w:t>
        <w:br/>
        <w:t xml:space="preserve">  PROMEDIO:                     2.9/5</w:t>
        <w:br/>
        <w:br/>
        <w:t>INVERSIÓN REQUERIDA:</w:t>
        <w:br/>
        <w:t xml:space="preserve">  → TLPT engagement: €200K (Q2 2026)</w:t>
        <w:br/>
        <w:t xml:space="preserve">  → DR site testing: €50K (Q2 2026)</w:t>
        <w:br/>
        <w:t xml:space="preserve">  → Expected improvement: +0.6 score (→ 3.5 by Q3)</w:t>
        <w:br/>
      </w:r>
    </w:p>
    <w:p>
      <w:r>
        <w:rPr>
          <w:b/>
        </w:rPr>
        <w:t>Elementos:</w:t>
      </w:r>
      <w:r/>
      <w:r>
        <w:br/>
        <w:t>- Timeline Gantt-style: Tablettop ✓ → DR activation (Q2) → TLPT (Q2-Q3)</w:t>
      </w:r>
      <w:r/>
      <w:r>
        <w:br/>
        <w:t>- Icon visualization: test coverage</w:t>
      </w:r>
    </w:p>
    <w:p>
      <w:pPr>
        <w:pStyle w:val="Heading3"/>
        <w:keepNext/>
        <w:keepLines/>
      </w:pPr>
      <w:r>
        <w:t>SLIDE 9: Pilar 5 - Gestión Terceros (Score 2.6)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GESTIÓN DE RIESGOS DE PROVEEDORES</w:t>
        <w:br/>
        <w:br/>
        <w:t>Third-Party Inventory:</w:t>
        <w:br/>
        <w:t xml:space="preserve">  Total Vendors:               127</w:t>
        <w:br/>
        <w:t xml:space="preserve">  Critical vendors:            18</w:t>
        <w:br/>
        <w:t xml:space="preserve">  Assessment Coverage:         72% (13/18 critical) - Gap: 5 pending</w:t>
        <w:br/>
        <w:br/>
        <w:t>Due Diligence Status:</w:t>
        <w:br/>
        <w:t xml:space="preserve">  Contracts DORA-compliant:   65% (12/18)</w:t>
        <w:br/>
        <w:t xml:space="preserve">  Gap: 6 contratos need renegotiation (Timeline: Q1-Q2 2026)</w:t>
        <w:br/>
        <w:br/>
        <w:t>Monitoring:</w:t>
        <w:br/>
        <w:t xml:space="preserve">  Quarterly risk re-assessment: Implemented Q4 2025</w:t>
        <w:br/>
        <w:t xml:space="preserve">  Sub-contractor visibility:   45% (Improvement Q2 2026)</w:t>
        <w:br/>
        <w:br/>
        <w:t>Score Breakdown:</w:t>
        <w:br/>
        <w:t xml:space="preserve">  Vendor Identification:       4/5</w:t>
        <w:br/>
        <w:t xml:space="preserve">  Assessment Coverage:         2/5 ⚠ GAP</w:t>
        <w:br/>
        <w:t xml:space="preserve">  Contract Compliance:         3/5 ⚠ GAP</w:t>
        <w:br/>
        <w:t xml:space="preserve">  Ongoing Monitoring:          2/5 ⚠ GAP</w:t>
        <w:br/>
        <w:t xml:space="preserve">  ─────────────────────</w:t>
        <w:br/>
        <w:t xml:space="preserve">  PROMEDIO:                    2.6/5 (LOWEST PILAR)</w:t>
        <w:br/>
        <w:br/>
        <w:t>ACCIONES URGENTES:</w:t>
        <w:br/>
        <w:t xml:space="preserve">  → Complete 5 pending assessments (Deadline: Feb 28)</w:t>
        <w:br/>
        <w:t xml:space="preserve">  → Renegotiate 6 contracts (Legal, Q1-Q2 2026)</w:t>
        <w:br/>
        <w:t xml:space="preserve">  → Improve sub-contractor visibility (TPRM tool, Q2 2026)</w:t>
        <w:br/>
        <w:t xml:space="preserve">  → Target: 3.8/5.0 by Q3 2026</w:t>
        <w:br/>
      </w:r>
    </w:p>
    <w:p>
      <w:r>
        <w:rPr>
          <w:b/>
        </w:rPr>
        <w:t>Elementos:</w:t>
      </w:r>
      <w:r/>
      <w:r>
        <w:br/>
        <w:t>- Vendor status pie chart: 72% assessed / 28% gap</w:t>
      </w:r>
      <w:r/>
      <w:r>
        <w:br/>
        <w:t>- Contract compliance bar: 65%</w:t>
      </w:r>
      <w:r/>
      <w:r>
        <w:br/>
        <w:t>- Action list con deadlines</w:t>
      </w:r>
    </w:p>
    <w:p>
      <w:pPr>
        <w:pStyle w:val="Heading3"/>
        <w:keepNext/>
        <w:keepLines/>
      </w:pPr>
      <w:r>
        <w:t>SLIDE 10: Indicadores PRAGMATIC Top 5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SCORES PRAGMATIC DE INDICADORES CLAVE</w:t>
        <w:br/>
        <w:br/>
        <w:t>Métrica                    PRAGMATIC Score    Status        Acción</w:t>
        <w:br/>
        <w:t>────────────────────────────────────────────────────────────────</w:t>
        <w:br/>
        <w:t>Patch Rate (CVSS≥7)         4.78/5.0         EXCELENTE     ✓ Mantener</w:t>
        <w:br/>
        <w:t>Incident Notification       4.78/5.0         EXCELENTE     ✓ Mantener</w:t>
        <w:br/>
        <w:t>MTTD (&lt;15 min)              4.33/5.0         EXCELENTE     → Tuning ongoing</w:t>
        <w:br/>
        <w:t>TLPT Completion             4.33/5.0         EXCELENTE     → Contratar Q2</w:t>
        <w:br/>
        <w:t>DORA Contracts              4.22/5.0         EXCELENTE     → Renegociar 6</w:t>
        <w:br/>
        <w:t>────────────────────────────────────────────────────────────────</w:t>
        <w:br/>
        <w:t>CARTERA PROMEDIO:           4.07/5.0         BUENO-EXCELENTE</w:t>
        <w:br/>
        <w:br/>
        <w:t>⚠ Métricas BAJAS (&lt;3.5):</w:t>
        <w:br/>
        <w:t xml:space="preserve">  • False Positive Rate (3.33) - Tuning SIEM Q1</w:t>
        <w:br/>
        <w:t xml:space="preserve">  • Vendor Coverage (2.6)     - Acelerar assessments Q1-Q2</w:t>
        <w:br/>
        <w:br/>
        <w:t>DECISIÓN: Implementar todas métricas Score ≥4.0</w:t>
        <w:br/>
        <w:t xml:space="preserve">          Refinar métricas 3.0-4.0</w:t>
        <w:br/>
        <w:t xml:space="preserve">          Reemplazar métricas &lt;3.0</w:t>
        <w:br/>
      </w:r>
    </w:p>
    <w:p>
      <w:r>
        <w:rPr>
          <w:b/>
        </w:rPr>
        <w:t>Elementos visuales:</w:t>
      </w:r>
      <w:r/>
      <w:r>
        <w:br/>
        <w:t>- Color-coded table (verde/amarillo/rojo)</w:t>
      </w:r>
      <w:r/>
      <w:r>
        <w:br/>
        <w:t>- Comparación vs DORA requirements</w:t>
      </w:r>
      <w:r/>
      <w:r>
        <w:br/>
        <w:t>- Action items tied to PRAGMATIC score</w:t>
      </w:r>
    </w:p>
    <w:p>
      <w:pPr>
        <w:pStyle w:val="Heading3"/>
        <w:keepNext/>
        <w:keepLines/>
      </w:pPr>
      <w:r>
        <w:t>SLIDE 11: Análisis Financiero - ROI/ROSI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INVERSIÓN Y RETORNO (ROI/ROSI ANALYSIS)</w:t>
        <w:br/>
        <w:br/>
        <w:t>INICIATIVAS FASE 1-3 (2026): €910,000 TOTAL</w:t>
        <w:br/>
        <w:br/>
        <w:t>Desglose por Iniciativa:</w:t>
        <w:br/>
        <w:t xml:space="preserve">  1. SIEM Implementation         €150K    ROSI: 280%    Payback: 6.3m</w:t>
        <w:br/>
        <w:t xml:space="preserve">  2. Incident Automation        €50K     ROSI: 250%    Payback: 2.8m</w:t>
        <w:br/>
        <w:t xml:space="preserve">  3. Vulnerability Scanning     €60K     ROSI: 180%    Payback: 5.1m</w:t>
        <w:br/>
        <w:t xml:space="preserve">  4. TLPT (Red Team)            €200K    ROSI: 483%    Payback: 4.1m</w:t>
        <w:br/>
        <w:t xml:space="preserve">  5. Encryption Roadmap         €120K    ROSI: 165%    Payback: 8.6m</w:t>
        <w:br/>
        <w:t xml:space="preserve">  6. BC/DR Testing              €80K     ROSI: 140%    Payback: 8.5m</w:t>
        <w:br/>
        <w:t xml:space="preserve">  7. Phishing Simulations       €50K     ROSI: 190%    Payback: 3.1m</w:t>
        <w:br/>
        <w:t xml:space="preserve">  8. TPRM Platform              €70K     ROSI: 155%    Payback: 9.2m</w:t>
        <w:br/>
        <w:t xml:space="preserve">  9. Other (training, tools)   €130K    ROSI: 175%    Payback: 4.2m</w:t>
        <w:br/>
        <w:t xml:space="preserve">  ────────────────────────────────────────────────────</w:t>
        <w:br/>
        <w:t xml:space="preserve">  TOTAL:                        €910K    AVG ROSI: 203%  AVG: 6.5m</w:t>
        <w:br/>
        <w:br/>
        <w:t>ANNUALIZED LOSS EXPECTANCY (ALE) REDUCTION:</w:t>
        <w:br/>
        <w:br/>
        <w:t>Current ALE (unmitigated):       €1,441,000 / year</w:t>
        <w:br/>
        <w:t>Post-Implementation ALE:         €285,000 / year</w:t>
        <w:br/>
        <w:t>─────────────────────────────────────────</w:t>
        <w:br/>
        <w:t>ALE Reduction (Annual Benefit): €1,156,000 / year</w:t>
        <w:br/>
        <w:br/>
        <w:t>PORTFOLIO ROI (2 AÑOS):</w:t>
        <w:br/>
        <w:t xml:space="preserve">  Total Benefit (2 años):       €2,312,000</w:t>
        <w:br/>
        <w:t xml:space="preserve">  Total Cost:                   €910,000</w:t>
        <w:br/>
        <w:t xml:space="preserve">  ─────────────────────────────</w:t>
        <w:br/>
        <w:t xml:space="preserve">  NET BENEFIT:                  €1,402,000</w:t>
        <w:br/>
        <w:t xml:space="preserve">  PORTFOLIO ROSI:               154% ← EXCEPCIONAL</w:t>
        <w:br/>
      </w:r>
    </w:p>
    <w:p>
      <w:r>
        <w:rPr>
          <w:b/>
        </w:rPr>
        <w:t>Elementos:</w:t>
      </w:r>
      <w:r/>
      <w:r>
        <w:br/>
        <w:t>- Bar chart: Inversión por iniciativa</w:t>
      </w:r>
      <w:r/>
      <w:r>
        <w:br/>
        <w:t>- Payback period visual (meses)</w:t>
      </w:r>
      <w:r/>
      <w:r>
        <w:br/>
        <w:t>- ALE before/after gauge</w:t>
      </w:r>
      <w:r/>
      <w:r>
        <w:br/>
        <w:t>- ROI waterfall chart</w:t>
      </w:r>
    </w:p>
    <w:p>
      <w:pPr>
        <w:pStyle w:val="Heading3"/>
        <w:keepNext/>
        <w:keepLines/>
      </w:pPr>
      <w:r>
        <w:t>SLIDE 12: Roadmap de Implementación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ROADMAP FASES 1-3 (Q1-Q4 2026)</w:t>
        <w:br/>
        <w:br/>
        <w:t>┌─────────────┬──────────┬──────────┬──────────┐</w:t>
        <w:br/>
        <w:t>│ FASE 1      │ FASE 2   │ FASE 3   │ FOLLOW-UP│</w:t>
        <w:br/>
        <w:t>│ Q1-Q2 2026  │ Q2-Q3    │ Q3-Q4    │ 2027     │</w:t>
        <w:br/>
        <w:t>├─────────────┼──────────┼──────────┼──────────┤</w:t>
        <w:br/>
        <w:t>│             │          │          │          │</w:t>
        <w:br/>
        <w:t>│ Prioritario │Recomendado Deseable │ Mejora   │</w:t>
        <w:br/>
        <w:t>│ Score ≥4.5  │ 4.0-4.5  │ 3.5-4.0  │ Continua │</w:t>
        <w:br/>
        <w:t>│             │          │          │          │</w:t>
        <w:br/>
        <w:t>│ • SIEM      │• Encrypt │• FAIR    │• Advanced</w:t>
        <w:br/>
        <w:t>│ • Incident  │• BC/DR   │• GRC     │  ML</w:t>
        <w:br/>
        <w:t>│   Automation│• Phishing│• Board   │• AI-driven</w:t>
        <w:br/>
        <w:t>│ • Scanning  │• TPRM    │  Dash    │  Response</w:t>
        <w:br/>
        <w:t>│ • TLPT      │          │          │          │</w:t>
        <w:br/>
        <w:t>│             │          │          │          │</w:t>
        <w:br/>
        <w:t>├─────────────┼──────────┼──────────┼──────────┤</w:t>
        <w:br/>
        <w:t>│ Presupuesto │Presupuesto Presupuesto         │</w:t>
        <w:br/>
        <w:t>│ €460K       │ €320K    │ €130K    │ €80K/año │</w:t>
        <w:br/>
        <w:t>│             │          │          │          │</w:t>
        <w:br/>
        <w:t>│ IGM Target: │IGM Target:IGM Target:│ IGM &gt;4.0│</w:t>
        <w:br/>
        <w:t>│ 3.2 → 3.5   │ 3.5 → 3.7 │ 3.7→3.8 │         │</w:t>
        <w:br/>
        <w:t>│             │          │          │          │</w:t>
        <w:br/>
        <w:t>└─────────────┴──────────┴──────────┴──────────┘</w:t>
        <w:br/>
        <w:br/>
        <w:t>KEY MILESTONES:</w:t>
        <w:br/>
        <w:t xml:space="preserve">  ✓ Feb 28:  FAIR training completed</w:t>
        <w:br/>
        <w:t xml:space="preserve">  ✓ Mar 31:  Governance Policy updated</w:t>
        <w:br/>
        <w:t xml:space="preserve">  ✓ May 30:  SIEM &lt;15min MTTD achieved</w:t>
        <w:br/>
        <w:t xml:space="preserve">  ✓ Jun 30:  5 vendor assessments completed</w:t>
        <w:br/>
        <w:t xml:space="preserve">  ✓ Sep 30:  TLPT findings remediated 50%+</w:t>
        <w:br/>
        <w:t xml:space="preserve">  ✓ Dec 31:  IGM 3.8; auditoría supervisora ready</w:t>
        <w:br/>
      </w:r>
    </w:p>
    <w:p>
      <w:r>
        <w:rPr>
          <w:b/>
        </w:rPr>
        <w:t>Elementos:</w:t>
      </w:r>
      <w:r/>
      <w:r>
        <w:br/>
        <w:t>- Gantt chart o timeline visual</w:t>
      </w:r>
      <w:r/>
      <w:r>
        <w:br/>
        <w:t>- Budget waterfall por fase</w:t>
      </w:r>
      <w:r/>
      <w:r>
        <w:br/>
        <w:t>- Milestone markers</w:t>
      </w:r>
      <w:r/>
      <w:r>
        <w:br/>
        <w:t>- IGM trajectory line</w:t>
      </w:r>
    </w:p>
    <w:p>
      <w:pPr>
        <w:pStyle w:val="Heading3"/>
        <w:keepNext/>
        <w:keepLines/>
      </w:pPr>
      <w:r>
        <w:t>SLIDE 13: Recomendaciones y Acciones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RECOMENDACIONES PARA JUNTA DIRECTIVA</w:t>
        <w:br/>
        <w:br/>
        <w:t>1. APROBAR INVERSIÓN FASE 1: €460,000 Q1-Q2 2026</w:t>
        <w:br/>
        <w:t xml:space="preserve">   Justificación: ROSI 138%; Payback 9.5 meses; DORA compliance crítico</w:t>
        <w:br/>
        <w:t xml:space="preserve">   Motion: "Autorizar gasto €460K para iniciativas ciberseguridad críticas"</w:t>
        <w:br/>
        <w:br/>
        <w:t>2. ACELERAR DUE DILIGENCE TERCEROS</w:t>
        <w:br/>
        <w:t xml:space="preserve">   Acción: 5 vendor assessments completar Feb 28</w:t>
        <w:br/>
        <w:t xml:space="preserve">   Owner: CRO / Procurement</w:t>
        <w:br/>
        <w:t xml:space="preserve">   Impact: Reduces pilar 5 risk exposure €150K ALE</w:t>
        <w:br/>
        <w:br/>
        <w:t>3. FORMALIZAR RISK APPETITE FRAMEWORK</w:t>
        <w:br/>
        <w:t xml:space="preserve">   Timeline: Q2 2026</w:t>
        <w:br/>
        <w:t xml:space="preserve">   Owner: CRO + Risk Committee</w:t>
        <w:br/>
        <w:t xml:space="preserve">   Impact: Governance maturity +0.5 scores</w:t>
        <w:br/>
        <w:br/>
        <w:t>4. ESCALADA RECURSOS SIEM TUNING</w:t>
        <w:br/>
        <w:t xml:space="preserve">   Action: +1 FTE analyst Q1-Q2 (temporary)</w:t>
        <w:br/>
        <w:t xml:space="preserve">   Cost: €15K</w:t>
        <w:br/>
        <w:t xml:space="preserve">   Impact: MTTD &lt;15 min by May 31</w:t>
        <w:br/>
        <w:br/>
        <w:t>5. SUPERVISORY READINESS PLAN</w:t>
        <w:br/>
        <w:t xml:space="preserve">   Timeline: Preparation begins Mar 2026</w:t>
        <w:br/>
        <w:t xml:space="preserve">   Target: Auditoría satisfactoria Q3 2026</w:t>
        <w:br/>
        <w:t xml:space="preserve">   Owner: CISO + Compliance</w:t>
        <w:br/>
        <w:br/>
        <w:t>DECISION POINTS FOR BOARD:</w:t>
        <w:br/>
        <w:t xml:space="preserve">  ☐ Approve Fase 1 investment (€460K)</w:t>
        <w:br/>
        <w:t xml:space="preserve">  ☐ Approve FAIR training (€40K)</w:t>
        <w:br/>
        <w:t xml:space="preserve">  ☐ Approve legal resource para vendor renegotiation (€20K)</w:t>
        <w:br/>
        <w:t xml:space="preserve">  ☐ Set IGM 3.8 como target Q4 2026</w:t>
        <w:br/>
      </w:r>
    </w:p>
    <w:p>
      <w:r>
        <w:rPr>
          <w:b/>
        </w:rPr>
        <w:t>Elementos:</w:t>
      </w:r>
      <w:r/>
      <w:r>
        <w:br/>
        <w:t>- Numbered list con bolded recomendaciones</w:t>
      </w:r>
      <w:r/>
      <w:r>
        <w:br/>
        <w:t>- Decision checkboxes</w:t>
      </w:r>
      <w:r/>
      <w:r>
        <w:br/>
        <w:t>- Owner + timeline para cada acción</w:t>
      </w:r>
      <w:r/>
      <w:r>
        <w:br/>
        <w:t>- Financial impact inline</w:t>
      </w:r>
    </w:p>
    <w:p>
      <w:pPr>
        <w:pStyle w:val="Heading3"/>
        <w:keepNext/>
        <w:keepLines/>
      </w:pPr>
      <w:r>
        <w:t>SLIDE 14: Risk Dashboard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RISK DASHBOARD - IDENTIFICACIÓN DE RIESGOS RESIDUALES</w:t>
        <w:br/>
        <w:br/>
        <w:t>┌────────────────────────────────────────────────────────────┐</w:t>
        <w:br/>
        <w:t>│ RIESGO IDENTIFICADO          │ SEVERIDAD  │ MITIGACIÓN     │</w:t>
        <w:br/>
        <w:t>├────────────────────────────────────────────────────────────┤</w:t>
        <w:br/>
        <w:t>│ Vendor Assessment Gaps        │ ALTO ⚠⚠⚠  │ Feb 28 deadline│</w:t>
        <w:br/>
        <w:t>│ (5 critical vendors)          │            │ Assigned: CRO  │</w:t>
        <w:br/>
        <w:t>│                               │            │                │</w:t>
        <w:br/>
        <w:t>│ FAIR Implementation Delay     │ MEDIO ⚠⚠   │ Q2 2026 plan   │</w:t>
        <w:br/>
        <w:t>│ (Risk quantification pending) │            │ Training Mar   │</w:t>
        <w:br/>
        <w:t>│                               │            │                │</w:t>
        <w:br/>
        <w:t>│ MTTD &gt;15 min (marginal)      │ MEDIO ⚠⚠   │ SIEM tuning    │</w:t>
        <w:br/>
        <w:t>│ (Currently 18 min, target)    │            │ Expected: May  │</w:t>
        <w:br/>
        <w:t>│                               │            │                │</w:t>
        <w:br/>
        <w:t>│ Sub-contractor Visibility     │ BAJO ⚠     │ TPRM platform  │</w:t>
        <w:br/>
        <w:t>│ (45% coverage only)           │            │ Q2 2026        │</w:t>
        <w:br/>
        <w:t>│                               │            │                │</w:t>
        <w:br/>
        <w:t>└────────────────────────────────────────────────────────────┘</w:t>
        <w:br/>
        <w:br/>
        <w:t>OVERALL RISK POSTURE:</w:t>
        <w:br/>
        <w:t xml:space="preserve">  Current: MANAGED (IGM 3.0)</w:t>
        <w:br/>
        <w:t xml:space="preserve">  Post-Fase 1: INTEGRATED (IGM 3.5) - Target May 2026</w:t>
        <w:br/>
        <w:t xml:space="preserve">  Post-Fase 2: INTEGRATED+ (IGM 3.7) - Target Sep 2026</w:t>
        <w:br/>
        <w:t xml:space="preserve">  Post-Fase 3: OPTIMIZING (IGM 3.8) - Target Dec 2026</w:t>
        <w:br/>
        <w:br/>
        <w:t>Supervisory Risk: LOW (assuming roadmap execution)</w:t>
        <w:br/>
        <w:t xml:space="preserve">  → DORA compliance achievable by Q3 2026 audit</w:t>
        <w:br/>
      </w:r>
    </w:p>
    <w:p>
      <w:r>
        <w:rPr>
          <w:b/>
        </w:rPr>
        <w:t>Elementos:</w:t>
      </w:r>
      <w:r/>
      <w:r>
        <w:br/>
        <w:t>- Risk matrix table (Severidad × Mitigación)</w:t>
      </w:r>
      <w:r/>
      <w:r>
        <w:br/>
        <w:t>- Risk traffic lights (Red/Yellow/Green)</w:t>
      </w:r>
      <w:r/>
      <w:r>
        <w:br/>
        <w:t>- Trend indicators</w:t>
      </w:r>
    </w:p>
    <w:p>
      <w:pPr>
        <w:pStyle w:val="Heading3"/>
        <w:keepNext/>
        <w:keepLines/>
      </w:pPr>
      <w:r>
        <w:t>SLIDE 15: Cierre y Q&amp;A</w:t>
      </w:r>
    </w:p>
    <w:p>
      <w:r>
        <w:rPr>
          <w:b/>
        </w:rPr>
        <w:t>Contenido: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CIERRE Y PRÓXIMOS PASOS</w:t>
        <w:br/>
        <w:br/>
        <w:t>RESUMEN EJECUTIVO:</w:t>
        <w:br/>
        <w:t xml:space="preserve">  ✓ IGM Actual: 3.0/5.0 (MANAGED) - Alineado con EU average</w:t>
        <w:br/>
        <w:t xml:space="preserve">  ✓ Tendencia: +5.3% Q4 2025 → Q1 2026</w:t>
        <w:br/>
        <w:t xml:space="preserve">  ✓ Roadmap: 3 fases; €910K inversión; 203% ROSI</w:t>
        <w:br/>
        <w:t xml:space="preserve">  ✓ Supervisory readiness: Q3 2026 (probable approval)</w:t>
        <w:br/>
        <w:br/>
        <w:t>DECISIONES REQUERIDAS HOY:</w:t>
        <w:br/>
        <w:t xml:space="preserve">  1. Aprobar Fase 1 presupuesto (€460K, Q1-Q2)</w:t>
        <w:br/>
        <w:t xml:space="preserve">  2. Autorizar FAIR training (€40K, Q2)</w:t>
        <w:br/>
        <w:t xml:space="preserve">  3. Asignar recursos vendor assessments (€20K, Q1)</w:t>
        <w:br/>
        <w:br/>
        <w:t>TIMELINE INMEDIATO:</w:t>
        <w:br/>
        <w:t xml:space="preserve">  • Ene 31: Board decision (hoy)</w:t>
        <w:br/>
        <w:t xml:space="preserve">  • Feb 15: Fase 1 iniciativas kickoff</w:t>
        <w:br/>
        <w:t xml:space="preserve">  • Feb 28: Vendor assessment 5 pendientes</w:t>
        <w:br/>
        <w:t xml:space="preserve">  • Mar 31: FAIR training completion</w:t>
        <w:br/>
        <w:t xml:space="preserve">  • May 31: MTTD &lt;15 min target</w:t>
        <w:br/>
        <w:br/>
        <w:t>CONTACTO PARA PREGUNTAS:</w:t>
        <w:br/>
        <w:t xml:space="preserve">  CRO: [nombre] - [email]</w:t>
        <w:br/>
        <w:t xml:space="preserve">  CISO: [nombre] - [email]</w:t>
        <w:br/>
        <w:t xml:space="preserve">  Compliance: [nombre] - [email]</w:t>
        <w:br/>
        <w:br/>
        <w:t>PRÓXIMA ACTUALIZACIÓN:</w:t>
        <w:br/>
        <w:t xml:space="preserve">  Reporte Q2 2026 (Abril 2026)</w:t>
        <w:br/>
      </w:r>
    </w:p>
    <w:p>
      <w:r>
        <w:rPr>
          <w:b/>
        </w:rPr>
        <w:t>Elementos:</w:t>
      </w:r>
      <w:r/>
      <w:r>
        <w:br/>
        <w:t>- Bullets claros y concisos</w:t>
      </w:r>
      <w:r/>
      <w:r>
        <w:br/>
        <w:t>- Checkmarks verde (completado)</w:t>
      </w:r>
      <w:r/>
      <w:r>
        <w:br/>
        <w:t>- Timeline horizontal</w:t>
      </w:r>
      <w:r/>
      <w:r>
        <w:br/>
        <w:t>- Contact information</w:t>
      </w:r>
    </w:p>
    <w:p>
      <w:pPr>
        <w:pStyle w:val="Heading2"/>
        <w:keepNext/>
        <w:keepLines/>
      </w:pPr>
      <w:r>
        <w:rPr>
          <w:color w:val="0066CC"/>
        </w:rPr>
        <w:t>GUÍA DE DISEÑO VISUAL</w:t>
      </w:r>
    </w:p>
    <w:p>
      <w:pPr>
        <w:pStyle w:val="Heading3"/>
        <w:keepNext/>
        <w:keepLines/>
      </w:pPr>
      <w:r>
        <w:t>Paleta de Colores: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Primario:       Azul corporativo (DORA) #1F4E78</w:t>
        <w:br/>
        <w:t>Secundario:     Verde exitoso #2A8C4E</w:t>
        <w:br/>
        <w:t>Advertencia:    Amarillo #F39C12</w:t>
        <w:br/>
        <w:t>Crítico:        Rojo #C0392B</w:t>
        <w:br/>
        <w:t>Neutro:         Gris #95A5A6</w:t>
        <w:br/>
        <w:t>Fondo:          Blanco #FFFFFF</w:t>
        <w:br/>
      </w:r>
    </w:p>
    <w:p>
      <w:pPr>
        <w:pStyle w:val="Heading3"/>
        <w:keepNext/>
        <w:keepLines/>
      </w:pPr>
      <w:r>
        <w:t>Tipografía: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Títulos:        Calibri Bold 32-40 pt</w:t>
        <w:br/>
        <w:t>Subtítulos:     Calibri Bold 18-24 pt</w:t>
        <w:br/>
        <w:t>Body text:      Calibri Regular 12-14 pt</w:t>
        <w:br/>
        <w:t>Data tables:    Calibri Regular 10-12 pt</w:t>
        <w:br/>
      </w:r>
    </w:p>
    <w:p>
      <w:pPr>
        <w:pStyle w:val="Heading3"/>
        <w:keepNext/>
        <w:keepLines/>
      </w:pPr>
      <w:r>
        <w:t>Elementos Recurrentes: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• Icon set:     Font Awesome o similiar</w:t>
        <w:br/>
        <w:t>• Logos:        Institución (arriba izq); DORA (arriba der)</w:t>
        <w:br/>
        <w:t>• Footers:      Nombre institución + "Confidencial" + página #</w:t>
        <w:br/>
        <w:t>• Backgrounds:  Degradado sutil azul-gris; nunca abarrotado</w:t>
        <w:br/>
      </w:r>
    </w:p>
    <w:p>
      <w:pPr>
        <w:pStyle w:val="Heading2"/>
        <w:keepNext/>
        <w:keepLines/>
      </w:pPr>
      <w:r>
        <w:rPr>
          <w:color w:val="0066CC"/>
        </w:rPr>
        <w:t>USO PRÁCTICO</w:t>
      </w:r>
    </w:p>
    <w:p>
      <w:pPr>
        <w:pStyle w:val="Heading3"/>
        <w:keepNext/>
        <w:keepLines/>
      </w:pPr>
      <w:r>
        <w:t>Para Junta Directiva (30 min):</w:t>
      </w:r>
    </w:p>
    <w:p>
      <w:r>
        <w:t>Mostrar slides:  1, 2, 4, 11, 13, 15</w:t>
      </w:r>
    </w:p>
    <w:p>
      <w:r>
        <w:rPr>
          <w:b/>
        </w:rPr>
        <w:t>Foco:</w:t>
      </w:r>
      <w:r>
        <w:t xml:space="preserve"> ROI justificación + decisiones presupuestarias</w:t>
      </w:r>
    </w:p>
    <w:p>
      <w:pPr>
        <w:pStyle w:val="Heading3"/>
        <w:keepNext/>
        <w:keepLines/>
      </w:pPr>
      <w:r>
        <w:t>Para CRO / Risk Committee (45 min):</w:t>
      </w:r>
    </w:p>
    <w:p>
      <w:r>
        <w:t>Mostrar slides:  3-10, 12, 14</w:t>
      </w:r>
    </w:p>
    <w:p>
      <w:r>
        <w:rPr>
          <w:b/>
        </w:rPr>
        <w:t>Foco:</w:t>
      </w:r>
      <w:r>
        <w:t xml:space="preserve"> Detalles por pilar; roadmap ejecución; riesgos residuales</w:t>
      </w:r>
    </w:p>
    <w:p>
      <w:pPr>
        <w:pStyle w:val="Heading3"/>
        <w:keepNext/>
        <w:keepLines/>
      </w:pPr>
      <w:r>
        <w:t>Para Supervisores (60 min):</w:t>
      </w:r>
    </w:p>
    <w:p>
      <w:r>
        <w:t>Mostrar slides:  1, 3-9, 12, 14, 15 (adaptado)</w:t>
      </w:r>
    </w:p>
    <w:p>
      <w:r>
        <w:rPr>
          <w:b/>
        </w:rPr>
        <w:t>Foco:</w:t>
      </w:r>
      <w:r>
        <w:t xml:space="preserve"> Compliance mapping; DORA Article alignment; supervisory readiness</w:t>
      </w:r>
    </w:p>
    <w:p>
      <w:r>
        <w:rPr>
          <w:b/>
        </w:rPr>
        <w:t>Fin de la Plantilla PowerPoint</w:t>
      </w:r>
    </w:p>
    <w:p>
      <w:r>
        <w:rPr>
          <w:i/>
        </w:rPr>
        <w:t>Enero 2026 — Presentación Ejecutiva DORA para Stakeholders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