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IGM Y ROI</w:t>
      </w:r>
    </w:p>
    <w:p>
      <w:pPr>
        <w:pStyle w:val="Heading2"/>
        <w:keepNext/>
        <w:keepLines/>
      </w:pPr>
      <w:r>
        <w:rPr>
          <w:color w:val="0066CC"/>
        </w:rPr>
        <w:t>Sistema Integral de Métricas - Implementación en Hoja de Cálculo</w:t>
      </w:r>
    </w:p>
    <w:p>
      <w:pPr>
        <w:pStyle w:val="Heading2"/>
        <w:keepNext/>
        <w:keepLines/>
      </w:pPr>
      <w:r>
        <w:rPr>
          <w:color w:val="0066CC"/>
        </w:rPr>
        <w:t>INSTRUCCIONES DE USO</w:t>
      </w:r>
    </w:p>
    <w:p>
      <w:r>
        <w:t>Esta plantilla está diseñada para Microsoft Excel / Google Sheets. Contiene:</w:t>
      </w:r>
      <w:r/>
      <w:r>
        <w:br/>
        <w:t xml:space="preserve">1. </w:t>
      </w:r>
      <w:r>
        <w:rPr>
          <w:b/>
        </w:rPr>
        <w:t>Hoja 1: Consolidación de Respuestas</w:t>
      </w:r>
      <w:r/>
      <w:r>
        <w:br/>
        <w:t xml:space="preserve">2. </w:t>
      </w:r>
      <w:r>
        <w:rPr>
          <w:b/>
        </w:rPr>
        <w:t>Hoja 2: Cálculo de IGM</w:t>
      </w:r>
      <w:r/>
      <w:r>
        <w:br/>
        <w:t xml:space="preserve">3. </w:t>
      </w:r>
      <w:r>
        <w:rPr>
          <w:b/>
        </w:rPr>
        <w:t>Hoja 3: Análisis ROI</w:t>
      </w:r>
      <w:r/>
      <w:r>
        <w:br/>
        <w:t xml:space="preserve">4. </w:t>
      </w:r>
      <w:r>
        <w:rPr>
          <w:b/>
        </w:rPr>
        <w:t>Hoja 4: Dashboard Ejecutivo</w:t>
      </w:r>
    </w:p>
    <w:p>
      <w:pPr>
        <w:pStyle w:val="Heading2"/>
        <w:keepNext/>
        <w:keepLines/>
      </w:pPr>
      <w:r>
        <w:rPr>
          <w:color w:val="0066CC"/>
        </w:rPr>
        <w:t>HOJA 1: CONSOLIDACIÓN DE RESPUESTAS</w:t>
      </w:r>
    </w:p>
    <w:p>
      <w:pPr>
        <w:pStyle w:val="Heading3"/>
        <w:keepNext/>
        <w:keepLines/>
      </w:pPr>
      <w:r>
        <w:t>Estructura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Pregunta | Sección | Tema | Respondente_CISO | Respondente_Cumplimiento | Respondente_Auditoría | Media_Ponderada | Peso |</w:t>
        <w:br/>
        <w:t>|----------|---------|------|---|---|---|---|---|</w:t>
        <w:br/>
        <w:t>| P1 | I | Información Org | - | - | - | - | - |</w:t>
        <w:br/>
        <w:t>| P2 | I | Sector | Opción: Energía | Opción: Energía | Opción: Energía | N/A | - |</w:t>
        <w:br/>
        <w:t>| P3 | I | Tamaño | 3 (Mediana) | 3 | 3 | 3,0 | 0% |</w:t>
        <w:br/>
        <w:t>| P6 | II | Política Seguridad | 4 | 4 | 3 | 3,67 | 5% |</w:t>
        <w:br/>
        <w:t>| P7 | II | Objetivos | 3 | 4 | 2 | 3,0 | 5% |</w:t>
        <w:br/>
        <w:t>| ... | ... | ... | ... | ... | ... | ... | ... |</w:t>
        <w:br/>
        <w:t>| P114 | XI | Tech Emergentes | 3 | 3 | 3 | 3,0 | 1% |</w:t>
        <w:br/>
      </w:r>
    </w:p>
    <w:p>
      <w:pPr>
        <w:pStyle w:val="Heading3"/>
        <w:keepNext/>
        <w:keepLines/>
      </w:pPr>
      <w:r>
        <w:t>Fórmulas en Hoja 1</w:t>
      </w:r>
    </w:p>
    <w:p>
      <w:r>
        <w:rPr>
          <w:b/>
        </w:rPr>
        <w:t>Columna: Media_Ponderada (para preguntas numéricas)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=SI(CONTAR(C4:E4)&gt;0, </w:t>
        <w:br/>
        <w:t xml:space="preserve">    (C4*0,40 + D4*0,20 + E4*0,20) / SI(CONTAR(C4:E4)&gt;0, CONTAR(C4:E4), 1),</w:t>
        <w:br/>
        <w:t xml:space="preserve">    "")</w:t>
        <w:br/>
      </w:r>
    </w:p>
    <w:p>
      <w:r>
        <w:rPr>
          <w:b/>
        </w:rPr>
        <w:t>Lógica:</w:t>
      </w:r>
      <w:r/>
      <w:r>
        <w:br/>
        <w:t>- CISO (Col C): peso 40%</w:t>
      </w:r>
      <w:r/>
      <w:r>
        <w:br/>
        <w:t>- Cumplimiento (Col D): peso 20%</w:t>
      </w:r>
      <w:r/>
      <w:r>
        <w:br/>
        <w:t>- Auditoría (Col E): peso 20%</w:t>
      </w:r>
      <w:r/>
      <w:r>
        <w:br/>
        <w:t>- Otras areas (si aplica): weights distribuidos</w:t>
      </w:r>
    </w:p>
    <w:p>
      <w:pPr>
        <w:pStyle w:val="Heading2"/>
        <w:keepNext/>
        <w:keepLines/>
      </w:pPr>
      <w:r>
        <w:rPr>
          <w:color w:val="0066CC"/>
        </w:rPr>
        <w:t>HOJA 2: CÁLCULO DE IGM</w:t>
      </w:r>
    </w:p>
    <w:p>
      <w:pPr>
        <w:pStyle w:val="Heading3"/>
        <w:keepNext/>
        <w:keepLines/>
      </w:pPr>
      <w:r>
        <w:t>Estructura de Cálculo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Dominio | Pregunta | Puntuación | Peso_Dominio | Contribución |</w:t>
        <w:br/>
        <w:t>|---------|----------|-----------|--------------|--------------|</w:t>
        <w:br/>
        <w:t>| **Marco Organizativo** | | | **20%** | |</w:t>
        <w:br/>
        <w:t>| | P6 | 3,67 | 5% | 0,183 |</w:t>
        <w:br/>
        <w:t>| | P7 | 3,0 | 5% | 0,150 |</w:t>
        <w:br/>
        <w:t>| | P8 | 2,0 | 5% | 0,100 |</w:t>
        <w:br/>
        <w:t>| | P9 | 4,0 | 5% | 0,200 |</w:t>
        <w:br/>
        <w:t>| | P10 | 4,0 | 0% | 0,000 |</w:t>
        <w:br/>
        <w:t>| | P11 | 3,5 | 0% | 0,000 |</w:t>
        <w:br/>
        <w:t>| | P12 | 2,5 | 0% | 0,000 |</w:t>
        <w:br/>
        <w:t>| | P13 | 4,0 | 0% | 0,000 |</w:t>
        <w:br/>
        <w:t>| | P14 | 3,0 | 0% | 0,000 |</w:t>
        <w:br/>
        <w:t>| | P15 | 3,5 | 0% | 0,000 |</w:t>
        <w:br/>
        <w:t>| | P16 | 2,5 | 0% | 0,000 |</w:t>
        <w:br/>
        <w:t>| **Subtotal Marco Organizativo** | | | | **0,633** |</w:t>
        <w:br/>
        <w:t>| | | | | |</w:t>
        <w:br/>
        <w:t>| **Marco Operacional** | | | **25%** | |</w:t>
        <w:br/>
        <w:t>| | P17-P35 | [Promedio] | 25% | [Cálculo] |</w:t>
        <w:br/>
        <w:t>| **Subtotal Marco Operacional** | | | | [Valor] |</w:t>
        <w:br/>
        <w:t>| | | | | |</w:t>
        <w:br/>
        <w:t>| ... [Dominios 3-6] | | | | |</w:t>
        <w:br/>
        <w:t>| | | | | |</w:t>
        <w:br/>
        <w:t>| **IGM TOTAL** | | | **100%** | **[Suma Total]** |</w:t>
        <w:br/>
      </w:r>
    </w:p>
    <w:p>
      <w:pPr>
        <w:pStyle w:val="Heading3"/>
        <w:keepNext/>
        <w:keepLines/>
      </w:pPr>
      <w:r>
        <w:t>Fórmula Principal IGM (Hoja 2, celda global)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</w:t>
        <w:br/>
        <w:t xml:space="preserve">  Hoja1!Dominio1_Puntos, Hoja1!Pesos1) +</w:t>
        <w:br/>
        <w:t xml:space="preserve">  SUMAPRODUCTO(Hoja1!Dominio2_Puntos, Hoja1!Pesos2) +</w:t>
        <w:br/>
        <w:t xml:space="preserve">  ... etc</w:t>
        <w:br/>
        <w:br/>
        <w:t>=REDONDEAR(</w:t>
        <w:br/>
        <w:t xml:space="preserve">  (SubTotal_MO * 0,20 + SubTotal_MOP * 0,25 + SubTotal_MP * 0,20 + </w:t>
        <w:br/>
        <w:t xml:space="preserve">   SubTotal_Incidentes * 0,15 + SubTotal_Capacitacion * 0,10 + </w:t>
        <w:br/>
        <w:t xml:space="preserve">   SubTotal_Gobernanza * 0,10) / 100,</w:t>
        <w:br/>
        <w:t xml:space="preserve">  2)</w:t>
        <w:br/>
      </w:r>
    </w:p>
    <w:p>
      <w:pPr>
        <w:pStyle w:val="Heading3"/>
        <w:keepNext/>
        <w:keepLines/>
      </w:pPr>
      <w:r>
        <w:t>Interpretación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SI(IGM &lt; 2,0, "CRÍTICO", </w:t>
        <w:br/>
        <w:t>SI(IGM &lt; 3,0, "INSUFICIENTE",</w:t>
        <w:br/>
        <w:t>SI(IGM &lt; 3,5, "BÁSICO",</w:t>
        <w:br/>
        <w:t>SI(IGM &lt; 4,3, "AVANZADO",</w:t>
        <w:br/>
        <w:t>"EXCELENCIA"))))</w:t>
        <w:br/>
      </w:r>
    </w:p>
    <w:p>
      <w:pPr>
        <w:pStyle w:val="Heading2"/>
        <w:keepNext/>
        <w:keepLines/>
      </w:pPr>
      <w:r>
        <w:rPr>
          <w:color w:val="0066CC"/>
        </w:rPr>
        <w:t>HOJA 3: ANÁLISIS ROI</w:t>
      </w:r>
    </w:p>
    <w:p>
      <w:pPr>
        <w:pStyle w:val="Heading3"/>
        <w:keepNext/>
        <w:keepLines/>
      </w:pPr>
      <w:r>
        <w:t>3.1 Inputs Financieros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Métrica | Valor | Fórmula/Fuente |</w:t>
        <w:br/>
        <w:t>|---------|-------|---|</w:t>
        <w:br/>
        <w:t>| **INVERSIÓN** | | |</w:t>
        <w:br/>
        <w:t>| Gasto anual actual ciberseguridad (P105) | 150.000€ | INPUT |</w:t>
        <w:br/>
        <w:t>| Inversión adicional recomendada (12 meses) | 75.000€ | 50% del presupuesto actual |</w:t>
        <w:br/>
        <w:t>| Personal CISO/Seguridad | 120.000€ | P105 desglose |</w:t>
        <w:br/>
        <w:t>| Herramientas/Software | 35.000€ | Estimado |</w:t>
        <w:br/>
        <w:t>| Servicios externos (auditoría, penetración) | 20.000€ | Estimado |</w:t>
        <w:br/>
        <w:t>| **TOTAL INVERSIÓN 2026** | **225.000€** | Suma |</w:t>
        <w:br/>
        <w:t>| | | |</w:t>
        <w:br/>
        <w:t>| **BENEFICIOS PROYECTADOS** | | |</w:t>
        <w:br/>
        <w:t>| Costo promedio actual incidente (P107) | 45.000€ | INPUT |</w:t>
        <w:br/>
        <w:t>| Número incidentes actual/año (P51) | 8 | INPUT |</w:t>
        <w:br/>
        <w:t>| Costo actual incidentes/año | 360.000€ | 8 × 45K |</w:t>
        <w:br/>
        <w:t>| | | |</w:t>
        <w:br/>
        <w:t>| Reducción incidentes esperada (mejora madurez 3,2→4,0) | 40% | Benchmarking |</w:t>
        <w:br/>
        <w:t>| Incidentes evitados/año | 3,2 | 8 × 40% |</w:t>
        <w:br/>
        <w:t>| Costo evitado/año | 144.000€ | 3,2 × 45K |</w:t>
        <w:br/>
        <w:t>| | | |</w:t>
        <w:br/>
        <w:t>| Reducción costo por incidente (mejor respuesta) | 15% | MTTR mejora |</w:t>
        <w:br/>
        <w:t>| Costo reducción/incidente | 6.750€ | 45K × 15% |</w:t>
        <w:br/>
        <w:t>| Beneficio reducción por incidente | 54.000€ | 8 × 6.75K |</w:t>
        <w:br/>
        <w:t>| | | |</w:t>
        <w:br/>
        <w:t>| **BENEFICIO TOTAL ANUAL (Año 1)** | **198.000€** | 144K + 54K |</w:t>
        <w:br/>
        <w:t>| Beneficio sostenible (Años 2+) | 250.000€ | Consolidado |</w:t>
        <w:br/>
      </w:r>
    </w:p>
    <w:p>
      <w:pPr>
        <w:pStyle w:val="Heading3"/>
        <w:keepNext/>
        <w:keepLines/>
      </w:pPr>
      <w:r>
        <w:t>3.2 Métricas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**ROI Simple (Año 1):**</w:t>
        <w:br/>
        <w:t>ROI = (Beneficio - Inversión) / Inversión × 100</w:t>
        <w:br/>
        <w:t xml:space="preserve">    = (198.000 - 225.000) / 225.000 × 100</w:t>
        <w:br/>
        <w:t xml:space="preserve">    = -12% (Año 1 puede ser negativo, esperado)</w:t>
        <w:br/>
        <w:br/>
        <w:t>**ROI Acumulado (Años 1-3):**</w:t>
        <w:br/>
        <w:t>Año 1: -27.000€</w:t>
        <w:br/>
        <w:t>Año 2: +250.000€ (beneficio sostenible)</w:t>
        <w:br/>
        <w:t>Año 3: +250.000€</w:t>
        <w:br/>
        <w:br/>
        <w:t>Acumulado 3 años: 473.000€</w:t>
        <w:br/>
        <w:t>ROI promedio anual: (473.000 / 675.000) = 70%</w:t>
        <w:br/>
        <w:br/>
        <w:t>**Payback Period:**</w:t>
        <w:br/>
        <w:t>PaybackPeriod = Inversión / Beneficio_Anual</w:t>
        <w:br/>
        <w:t xml:space="preserve">              = 225.000 / 250.000</w:t>
        <w:br/>
        <w:t xml:space="preserve">              = 0,9 años ≈ 11 meses (año 2)</w:t>
        <w:br/>
        <w:br/>
        <w:t>**NPV (Valor Presente Neto, tasa descuento 10%):**</w:t>
        <w:br/>
        <w:t>NPV = -225.000 + (198.000/1,10^1) + (250.000/1,10^2) + (250.000/1,10^3)</w:t>
        <w:br/>
        <w:t xml:space="preserve">    = -225.000 + 180.000 + 206.612 + 187.829</w:t>
        <w:br/>
        <w:t xml:space="preserve">    = 349.441€</w:t>
        <w:br/>
        <w:br/>
        <w:t>**IRR (Tasa Interna de Retorno):**</w:t>
        <w:br/>
        <w:t>IRR = 34% (aproximadamente, usando análisis iterativo)</w:t>
        <w:br/>
      </w:r>
    </w:p>
    <w:p>
      <w:pPr>
        <w:pStyle w:val="Heading3"/>
        <w:keepNext/>
        <w:keepLines/>
      </w:pPr>
      <w:r>
        <w:t>3.3 Análisis de Sensibilidad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Escenario | Reducción Incidentes | Costo Evitado | ROI Año 1 | ROI 3 años |</w:t>
        <w:br/>
        <w:t>|-----------|---------------------|--------------|-----------|-----------|</w:t>
        <w:br/>
        <w:t>| **Pesimista** (20% reducción) | 1,6 | 72.000€ | -65% | 18% |</w:t>
        <w:br/>
        <w:t>| **Base** (40% reducción) | 3,2 | 144.000€ | -12% | 70% |</w:t>
        <w:br/>
        <w:t>| **Optimista** (60% reducción) | 4,8 | 216.000€ | 41% | 122% |</w:t>
        <w:br/>
      </w:r>
    </w:p>
    <w:p>
      <w:pPr>
        <w:pStyle w:val="Heading2"/>
        <w:keepNext/>
        <w:keepLines/>
      </w:pPr>
      <w:r>
        <w:rPr>
          <w:color w:val="0066CC"/>
        </w:rPr>
        <w:t>HOJA 4: DASHBOARD EJECUTIVO</w:t>
      </w:r>
    </w:p>
    <w:p>
      <w:pPr>
        <w:pStyle w:val="Heading3"/>
        <w:keepNext/>
        <w:keepLines/>
      </w:pPr>
      <w:r>
        <w:t>Indicadores Clave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CUADRO DE MANDO 2026                       ║</w:t>
        <w:br/>
        <w:t>║                   Postura de Ciberseguridad                   ║</w:t>
        <w:br/>
        <w:t>╠════════════════════════════════════════════════════════════════╣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║</w:t>
        <w:br/>
        <w:t>║  IGM Actual               [3,47]              META: 4,0        ║</w:t>
        <w:br/>
        <w:t>║  █████████░░░░░░░░░░░░░░ 69% hacia meta      (0,53 pts)       ║</w:t>
        <w:br/>
        <w:t>║                                                                ║</w:t>
        <w:br/>
        <w:t>║  Dominio de Mayor Brecha: Marco Operacional (2,8 vs 4,0)      ║</w:t>
        <w:br/>
        <w:t>║  Dominio de Fortaleza: Gobernanza (4,1)                       ║</w:t>
        <w:br/>
        <w:t>║                                                                ║</w:t>
        <w:br/>
        <w:t>║  Conformidad ENS:         78%                                  ║</w:t>
        <w:br/>
        <w:t>║  Conformidad NIST CSF:    72%                                  ║</w:t>
        <w:br/>
        <w:t>║  Conformidad NIS2:        65% (Operador Esencial)             ║</w:t>
        <w:br/>
        <w:t>║                                                                ║</w:t>
        <w:br/>
        <w:t>║  MTTD Actual:             48 horas         Meta: &lt;24h          ║</w:t>
        <w:br/>
        <w:t>║  MTTR Actual:             6 horas          Meta: &lt;4h           ║</w:t>
        <w:br/>
        <w:t>║                                                                ║</w:t>
        <w:br/>
        <w:t>║  Incidentes año anterior: 8                Tendencia: +16%     ║</w:t>
        <w:br/>
        <w:t>║  Tasa exposición datos:   1 incidente      Meta: 0             ║</w:t>
        <w:br/>
        <w:t>║                                                                ║</w:t>
        <w:br/>
        <w:t>║  Inversión Recomendada:   75.000€/año      ROI Año 1: -12%     ║</w:t>
        <w:br/>
        <w:t>║  Payback Period:          11 meses         NPV 3 años: 349K€   ║</w:t>
        <w:br/>
        <w:t>║                                                                ║</w:t>
        <w:br/>
        <w:t>║  Capacitación Anual:      64%              Meta: 100%          ║</w:t>
        <w:br/>
        <w:t>║  Tasa Clics Phishing:     18%              Meta: &lt;10%          ║</w:t>
        <w:br/>
        <w:t>║                                                                ║</w:t>
        <w:br/>
        <w:t>║  ⚠️  ACCIONES INMEDIATAS:                                       ║</w:t>
        <w:br/>
        <w:t>║     1. Implementar SIEM (P69: 1→4, impacto MTTD)              ║</w:t>
        <w:br/>
        <w:t>║     2. Programa 100% capacitación (P80: 64%→100%)             ║</w:t>
        <w:br/>
        <w:t>║     3. Auditoría externa anual (P101: no→sí)                  ║</w:t>
        <w:br/>
        <w:t>║     4. Escalada a Consejo: Presupuesto + Gobernanza          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  <w:br/>
      </w:r>
    </w:p>
    <w:p>
      <w:pPr>
        <w:pStyle w:val="Heading3"/>
        <w:keepNext/>
        <w:keepLines/>
      </w:pPr>
      <w:r>
        <w:t>Gráficos Recomendados</w:t>
      </w:r>
    </w:p>
    <w:p>
      <w:pPr>
        <w:pStyle w:val="ListNumber"/>
        <w:keepLines w:val="1"/>
        <w:keepNext w:val="1"/>
        <w:widowControl w:val="1"/>
      </w:pPr>
      <w:r>
        <w:t>Radar Chart (Madurez por Dominio)</w:t>
      </w:r>
    </w:p>
    <w:p>
      <w:pPr>
        <w:pStyle w:val="ListNumber"/>
        <w:keepLines w:val="1"/>
        <w:keepNext w:val="1"/>
        <w:widowControl w:val="1"/>
      </w:pPr>
      <w:r>
        <w:t>Eje: 6 dominios ENS (Marco Org, Operacional, etc.)</w:t>
      </w:r>
    </w:p>
    <w:p>
      <w:pPr>
        <w:pStyle w:val="ListNumber"/>
        <w:keepLines w:val="1"/>
        <w:keepNext w:val="1"/>
        <w:widowControl w:val="1"/>
      </w:pPr>
      <w:r>
        <w:br/>
        <w:t>Valor: Puntuación IGM por dominio (1-5)</w:t>
        <w:br/>
      </w:r>
    </w:p>
    <w:p>
      <w:pPr>
        <w:pStyle w:val="ListNumber"/>
        <w:keepLines w:val="1"/>
        <w:keepNext w:val="1"/>
        <w:widowControl w:val="1"/>
      </w:pPr>
      <w:r>
        <w:br/>
        <w:t>Línea de Tendencia (Histórica)</w:t>
        <w:br/>
      </w:r>
    </w:p>
    <w:p>
      <w:pPr>
        <w:pStyle w:val="ListNumber"/>
        <w:keepLines w:val="1"/>
        <w:keepNext w:val="1"/>
        <w:widowControl w:val="1"/>
      </w:pPr>
      <w:r>
        <w:t>Eje X: Trimestres (Q1 2024 - Q4 2026)</w:t>
      </w:r>
    </w:p>
    <w:p>
      <w:pPr>
        <w:pStyle w:val="ListNumber"/>
        <w:keepLines w:val="1"/>
        <w:keepNext w:val="1"/>
        <w:widowControl w:val="1"/>
      </w:pPr>
      <w:r>
        <w:t>Eje Y: IGM (1-5)</w:t>
      </w:r>
    </w:p>
    <w:p>
      <w:pPr>
        <w:pStyle w:val="ListNumber"/>
        <w:keepLines w:val="1"/>
        <w:keepNext w:val="1"/>
        <w:widowControl w:val="1"/>
      </w:pPr>
      <w:r>
        <w:br/>
        <w:t>Mostrar proyección con inversión recomendada</w:t>
        <w:br/>
      </w:r>
    </w:p>
    <w:p>
      <w:pPr>
        <w:pStyle w:val="ListNumber"/>
        <w:keepLines w:val="1"/>
        <w:keepNext w:val="1"/>
        <w:widowControl w:val="1"/>
      </w:pPr>
      <w:r>
        <w:br/>
        <w:t>Waterfall (ROI Cálculo)</w:t>
        <w:br/>
      </w:r>
    </w:p>
    <w:p>
      <w:pPr>
        <w:pStyle w:val="ListNumber"/>
        <w:keepLines w:val="1"/>
        <w:keepNext w:val="1"/>
        <w:widowControl w:val="1"/>
      </w:pPr>
      <w:r>
        <w:t>Inversión (barra negativa)</w:t>
      </w:r>
    </w:p>
    <w:p>
      <w:pPr>
        <w:pStyle w:val="ListNumber"/>
        <w:keepLines w:val="1"/>
        <w:keepNext w:val="1"/>
        <w:widowControl w:val="1"/>
      </w:pPr>
      <w:r>
        <w:t>Beneficios direc (barra positiva)</w:t>
      </w:r>
    </w:p>
    <w:p>
      <w:pPr>
        <w:pStyle w:val="ListNumber"/>
        <w:keepLines w:val="1"/>
        <w:keepNext w:val="1"/>
        <w:widowControl w:val="1"/>
      </w:pPr>
      <w:r>
        <w:t>Beneficios indirectos (reputación, etc.)</w:t>
      </w:r>
    </w:p>
    <w:p>
      <w:pPr>
        <w:pStyle w:val="ListNumber"/>
        <w:keepLines w:val="1"/>
        <w:widowControl w:val="1"/>
      </w:pPr>
      <w:r>
        <w:t>ROI Total</w:t>
      </w:r>
    </w:p>
    <w:p>
      <w:r>
        <w:t>Valor: Puntuación IGM por dominio (1-5)</w:t>
      </w:r>
    </w:p>
    <w:p>
      <w:r>
        <w:rPr>
          <w:b/>
        </w:rPr>
        <w:t>Línea de Tendencia (Histórica)</w:t>
      </w:r>
    </w:p>
    <w:p>
      <w:r>
        <w:t>Mostrar proyección con inversión recomendada</w:t>
      </w:r>
    </w:p>
    <w:p>
      <w:r>
        <w:rPr>
          <w:b/>
        </w:rPr>
        <w:t>Waterfall (ROI Cálculo)</w:t>
      </w:r>
    </w:p>
    <w:p>
      <w:pPr>
        <w:pStyle w:val="Heading2"/>
        <w:keepNext/>
        <w:keepLines/>
      </w:pPr>
      <w:r>
        <w:rPr>
          <w:color w:val="0066CC"/>
        </w:rPr>
        <w:t>FÓRMULAS EXCEL CLAVE</w:t>
      </w:r>
    </w:p>
    <w:p>
      <w:pPr>
        <w:pStyle w:val="Heading3"/>
        <w:keepNext/>
        <w:keepLines/>
      </w:pPr>
      <w:r>
        <w:t>Validación de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=CONTAR.SI(Hoja1!C6:C114, "&lt;1") + CONTAR.SI(Hoja1!C6:C114, "&gt;5")</w:t>
        <w:br/>
      </w:r>
    </w:p>
    <w:p>
      <w:r>
        <w:t>Alerta si hay respuestas fuera rango 1-5</w:t>
      </w:r>
    </w:p>
    <w:p>
      <w:pPr>
        <w:pStyle w:val="Heading3"/>
        <w:keepNext/>
        <w:keepLines/>
      </w:pPr>
      <w:r>
        <w:t>Cálculo Media Móvil (si datos históricos)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=PROMEDIO(OFFSET(IGM_Actual, -12, 0, 12, 1))  ; Media últimos 12 meses</w:t>
        <w:br/>
      </w:r>
    </w:p>
    <w:p>
      <w:pPr>
        <w:pStyle w:val="Heading3"/>
        <w:keepNext/>
        <w:keepLines/>
      </w:pPr>
      <w:r>
        <w:t>Cálculo Desviación Estándar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=DESVEST(C6:C114)  ; Identifica inconsistencias entre respondentes</w:t>
        <w:br/>
      </w:r>
    </w:p>
    <w:p>
      <w:pPr>
        <w:pStyle w:val="Heading3"/>
        <w:keepNext/>
        <w:keepLines/>
      </w:pPr>
      <w:r>
        <w:t>Indicador Semáforo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=SI(IGM &lt; 2, "🔴", SI(IGM &lt; 3, "🟠", SI(IGM &lt; 3.5, "🟡", SI(IGM &lt; 4.3, "🟢", "🟢✓"))))</w:t>
        <w:br/>
      </w:r>
    </w:p>
    <w:p>
      <w:pPr>
        <w:pStyle w:val="Heading2"/>
        <w:keepNext/>
        <w:keepLines/>
      </w:pPr>
      <w:r>
        <w:rPr>
          <w:color w:val="0066CC"/>
        </w:rPr>
        <w:t>PROTECCIÓN DE HOJA</w:t>
      </w:r>
    </w:p>
    <w:p>
      <w:r>
        <w:t>Recomendaciones:</w:t>
      </w:r>
      <w:r/>
      <w:r>
        <w:br/>
        <w:t xml:space="preserve">1. </w:t>
      </w:r>
      <w:r>
        <w:rPr>
          <w:b/>
        </w:rPr>
        <w:t>Proteger Hojas 2-4</w:t>
      </w:r>
      <w:r>
        <w:t xml:space="preserve"> con contraseña (cálculos no editables)</w:t>
      </w:r>
      <w:r/>
      <w:r>
        <w:br/>
        <w:t xml:space="preserve">2. </w:t>
      </w:r>
      <w:r>
        <w:rPr>
          <w:b/>
        </w:rPr>
        <w:t>Permitir edición</w:t>
      </w:r>
      <w:r>
        <w:t xml:space="preserve"> solo en Hoja 1 (entrada de datos)</w:t>
      </w:r>
      <w:r/>
      <w:r>
        <w:br/>
        <w:t xml:space="preserve">3. </w:t>
      </w:r>
      <w:r>
        <w:rPr>
          <w:b/>
        </w:rPr>
        <w:t>Hacer backup</w:t>
      </w:r>
      <w:r>
        <w:t xml:space="preserve"> antes de cada ciclo de encuesta</w:t>
      </w:r>
      <w:r/>
      <w:r>
        <w:br/>
        <w:t xml:space="preserve">4. </w:t>
      </w:r>
      <w:r>
        <w:rPr>
          <w:b/>
        </w:rPr>
        <w:t>Control de versiones</w:t>
      </w:r>
      <w:r>
        <w:t xml:space="preserve"> (Excel: Archivo → Información → Versiones)</w:t>
      </w:r>
    </w:p>
    <w:p>
      <w:pPr>
        <w:pStyle w:val="Heading2"/>
        <w:keepNext/>
        <w:keepLines/>
      </w:pPr>
      <w:r>
        <w:rPr>
          <w:color w:val="0066CC"/>
        </w:rPr>
        <w:t>EXPORTACIÓN DE DATOS</w:t>
      </w:r>
    </w:p>
    <w:p>
      <w:pPr>
        <w:pStyle w:val="Heading3"/>
        <w:keepNext/>
        <w:keepLines/>
      </w:pPr>
      <w:r>
        <w:t>A PowerPoint (Automatizado)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' Macro VBA para exportar tablas a PowerPoint</w:t>
        <w:br/>
        <w:t>Sub ExportarAPowePoint()</w:t>
        <w:br/>
        <w:t xml:space="preserve">    ' Copiar rango de datos</w:t>
        <w:br/>
        <w:t xml:space="preserve">    ' Pegar en presentación PowerPoint via OLE</w:t>
        <w:br/>
        <w:t>End Sub</w:t>
        <w:br/>
      </w:r>
    </w:p>
    <w:p>
      <w:pPr>
        <w:pStyle w:val="Heading3"/>
        <w:keepNext/>
        <w:keepLines/>
      </w:pPr>
      <w:r>
        <w:t>A PDF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Archivo → Exportar → PDF</w:t>
        <w:br/>
        <w:t>- Seleccionar rango IGM Dashboard</w:t>
        <w:br/>
        <w:t>- Mantener formato</w:t>
        <w:br/>
        <w:t>- Nombre: IGM_Org_2026.pdf</w:t>
        <w:br/>
      </w:r>
    </w:p>
    <w:p>
      <w:pPr>
        <w:pStyle w:val="Heading2"/>
        <w:keepNext/>
        <w:keepLines/>
      </w:pPr>
      <w:r>
        <w:rPr>
          <w:color w:val="0066CC"/>
        </w:rPr>
        <w:t>ACTUALIZACIÓN TRIMESTRAL</w:t>
      </w:r>
    </w:p>
    <w:p>
      <w:r>
        <w:t>Cada trimestre (Q1, Q2, Q3, Q4):</w:t>
      </w:r>
      <w:r/>
      <w:r>
        <w:br/>
        <w:t>1. Completar Hoja 1 con datos nuevos</w:t>
      </w:r>
      <w:r/>
      <w:r>
        <w:br/>
        <w:t>2. Recalcular IGM automáticamente (Hoja 2)</w:t>
      </w:r>
      <w:r/>
      <w:r>
        <w:br/>
        <w:t>3. Actualizar gráficos (automático)</w:t>
      </w:r>
      <w:r/>
      <w:r>
        <w:br/>
        <w:t>4. Generar reporte ejecutivo (Hoja 4)</w:t>
      </w:r>
      <w:r/>
      <w:r>
        <w:br/>
        <w:t>5. Distribuir a stakeholders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Compatibilidad:</w:t>
      </w:r>
      <w:r>
        <w:t xml:space="preserve"> Excel 2019+, Google Sheets, LibreOffice Calc</w:t>
      </w:r>
      <w:r/>
      <w:r>
        <w:br/>
      </w:r>
      <w:r>
        <w:rPr>
          <w:b/>
        </w:rPr>
        <w:t>Última actualización:</w:t>
      </w:r>
      <w:r>
        <w:t xml:space="preserve"> 24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