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</w:t>
      </w:r>
    </w:p>
    <w:p>
      <w:pPr>
        <w:pStyle w:val="Heading2"/>
        <w:keepNext/>
        <w:keepLines/>
      </w:pPr>
      <w:r>
        <w:rPr>
          <w:color w:val="0066CC"/>
        </w:rPr>
        <w:t>Encuesta GDPR – Ciberseguridad, Riesgo y Métricas</w:t>
      </w:r>
    </w:p>
    <w:p>
      <w:pPr>
        <w:pStyle w:val="Heading3"/>
        <w:keepNext/>
        <w:keepLines/>
      </w:pPr>
      <w:r>
        <w:t>1. Propósito de la encuesta</w:t>
      </w:r>
    </w:p>
    <w:p>
      <w:r>
        <w:t>Esta encuesta tiene como finalidad medir el grado de madurez de las organizaciones</w:t>
      </w:r>
      <w:r/>
      <w:r>
        <w:br/>
        <w:t>en la aplicación del RGPD en materia de seguridad del tratamiento, notificación de</w:t>
      </w:r>
      <w:r/>
      <w:r>
        <w:br/>
        <w:t>brechas, gestión del riesgo y uso de métricas, con especial énfasis en el contexto</w:t>
      </w:r>
      <w:r/>
      <w:r>
        <w:br/>
        <w:t>español y europeo. [web:14][web:25][web:28]</w:t>
      </w:r>
    </w:p>
    <w:p>
      <w:r>
        <w:t>Se inspira en:</w:t>
      </w:r>
      <w:r/>
      <w:r>
        <w:br/>
        <w:t>- El enfoque basado en el riesgo del RGPD (art. 24, 25 y 32).</w:t>
      </w:r>
      <w:r/>
      <w:r>
        <w:br/>
        <w:t>- Las guías de seguridad del tratamiento de ENISA y AEPD. [web:21][web:25]</w:t>
      </w:r>
      <w:r/>
      <w:r>
        <w:br/>
        <w:t>- La digest de casos del EDPB sobre seguridad y brechas (arts. 32, 33, 34). [web:14]</w:t>
      </w:r>
      <w:r/>
      <w:r>
        <w:br/>
        <w:t>- La convergencia con NIS2 y modelos de madurez sectoriales NIS360. [web:22][web:26]</w:t>
      </w:r>
      <w:r/>
      <w:r>
        <w:br/>
        <w:t>- El mapeo práctico entre RGPD, ISO 27001 e ISO 27701. [web:23][web:27]</w:t>
      </w:r>
    </w:p>
    <w:p>
      <w:pPr>
        <w:pStyle w:val="Heading3"/>
        <w:keepNext/>
        <w:keepLines/>
      </w:pPr>
      <w:r>
        <w:t>2. Ámbito de aplicación</w:t>
      </w:r>
    </w:p>
    <w:p>
      <w:r>
        <w:t>La encuesta está diseñada para:</w:t>
      </w:r>
      <w:r/>
      <w:r>
        <w:br/>
        <w:t>- Responsables de tratamiento y encargados sujetos al RGPD.</w:t>
      </w:r>
      <w:r/>
      <w:r>
        <w:br/>
        <w:t>- Organizaciones públicas y privadas con operaciones en España o la UE.</w:t>
      </w:r>
      <w:r/>
      <w:r>
        <w:br/>
        <w:t>- Sectores críticos sujetos a NIS2, donde los mismos controles soportan RGPD y normativa sectorial. [web:22][web:26]</w:t>
      </w:r>
    </w:p>
    <w:p>
      <w:r>
        <w:t>Puede aplicarse:</w:t>
      </w:r>
      <w:r/>
      <w:r>
        <w:br/>
        <w:t>- A nivel de organización completa.</w:t>
      </w:r>
      <w:r/>
      <w:r>
        <w:br/>
        <w:t>- A nivel de unidad de negocio o entidad jurídica específica.</w:t>
      </w:r>
      <w:r/>
      <w:r>
        <w:br/>
        <w:t>- A nivel sectorial, agregando resultados de múltiples organizaciones.</w:t>
      </w:r>
    </w:p>
    <w:p>
      <w:pPr>
        <w:pStyle w:val="Heading3"/>
        <w:keepNext/>
        <w:keepLines/>
      </w:pPr>
      <w:r>
        <w:t>3. Estructura de la encuesta</w:t>
      </w:r>
    </w:p>
    <w:p>
      <w:r>
        <w:t>La encuesta se organiza en diez bloques:</w:t>
      </w:r>
    </w:p>
    <w:p>
      <w:pPr>
        <w:pStyle w:val="ListNumber"/>
        <w:keepLines w:val="1"/>
        <w:keepNext w:val="1"/>
        <w:widowControl w:val="1"/>
      </w:pPr>
      <w:r>
        <w:t>Gobernanza y responsabilidad proactiva.</w:t>
      </w:r>
    </w:p>
    <w:p>
      <w:pPr>
        <w:pStyle w:val="ListNumber"/>
        <w:keepLines w:val="1"/>
        <w:keepNext w:val="1"/>
        <w:widowControl w:val="1"/>
      </w:pPr>
      <w:r>
        <w:t>Gestión del riesgo y EIPD.</w:t>
      </w:r>
    </w:p>
    <w:p>
      <w:pPr>
        <w:pStyle w:val="ListNumber"/>
        <w:keepLines w:val="1"/>
        <w:keepNext w:val="1"/>
        <w:widowControl w:val="1"/>
      </w:pPr>
      <w:r>
        <w:t>Medidas técnicas y organizativas (art. 32).</w:t>
      </w:r>
    </w:p>
    <w:p>
      <w:pPr>
        <w:pStyle w:val="ListNumber"/>
        <w:keepLines w:val="1"/>
        <w:keepNext w:val="1"/>
        <w:widowControl w:val="1"/>
      </w:pPr>
      <w:r>
        <w:t>Notificación de brechas (arts. 33 y 34).</w:t>
      </w:r>
    </w:p>
    <w:p>
      <w:pPr>
        <w:pStyle w:val="ListNumber"/>
        <w:keepLines w:val="1"/>
        <w:keepNext w:val="1"/>
        <w:widowControl w:val="1"/>
      </w:pPr>
      <w:r>
        <w:t>Terceros, nube y cadena de suministro (art. 28).</w:t>
      </w:r>
    </w:p>
    <w:p>
      <w:pPr>
        <w:pStyle w:val="ListNumber"/>
        <w:keepLines w:val="1"/>
        <w:keepNext w:val="1"/>
        <w:widowControl w:val="1"/>
      </w:pPr>
      <w:r>
        <w:t>Formación, cultura y competencia.</w:t>
      </w:r>
    </w:p>
    <w:p>
      <w:pPr>
        <w:pStyle w:val="ListNumber"/>
        <w:keepLines w:val="1"/>
        <w:keepNext w:val="1"/>
        <w:widowControl w:val="1"/>
      </w:pPr>
      <w:r>
        <w:t>Indicadores y métricas.</w:t>
      </w:r>
    </w:p>
    <w:p>
      <w:pPr>
        <w:pStyle w:val="ListNumber"/>
        <w:keepLines w:val="1"/>
        <w:keepNext w:val="1"/>
        <w:widowControl w:val="1"/>
      </w:pPr>
      <w:r>
        <w:t>Resultados regulatorios y relación con autoridades.</w:t>
      </w:r>
    </w:p>
    <w:p>
      <w:pPr>
        <w:pStyle w:val="ListNumber"/>
        <w:keepLines w:val="1"/>
        <w:keepNext w:val="1"/>
        <w:widowControl w:val="1"/>
      </w:pPr>
      <w:r>
        <w:t>Innovación, IA y nuevos contextos de riesgo.</w:t>
      </w:r>
    </w:p>
    <w:p>
      <w:pPr>
        <w:pStyle w:val="ListNumber"/>
        <w:keepLines w:val="1"/>
        <w:widowControl w:val="1"/>
      </w:pPr>
      <w:r>
        <w:t>Comentarios cualitativos.</w:t>
      </w:r>
    </w:p>
    <w:p>
      <w:r>
        <w:t>Cada bloque combina:</w:t>
      </w:r>
      <w:r/>
      <w:r>
        <w:br/>
        <w:t>- Preguntas de opción múltiple con escalas de madurez.</w:t>
      </w:r>
      <w:r/>
      <w:r>
        <w:br/>
        <w:t>- Preguntas de cuantificación aproximada (porcentajes, rangos).</w:t>
      </w:r>
      <w:r/>
      <w:r>
        <w:br/>
        <w:t>- Preguntas abiertas para matizar.</w:t>
      </w:r>
    </w:p>
    <w:p>
      <w:pPr>
        <w:pStyle w:val="Heading3"/>
        <w:keepNext/>
        <w:keepLines/>
      </w:pPr>
      <w:r>
        <w:t>4. Lógica de las escalas de respuesta</w:t>
      </w:r>
    </w:p>
    <w:p>
      <w:pPr>
        <w:pStyle w:val="Heading4"/>
        <w:keepNext/>
        <w:keepLines/>
      </w:pPr>
      <w:r>
        <w:t>4.1. Escalas de madurez</w:t>
      </w:r>
    </w:p>
    <w:p>
      <w:r>
        <w:t>Las opciones están diseñadas como una escala implícita de madurez, que puede</w:t>
      </w:r>
      <w:r/>
      <w:r>
        <w:br/>
        <w:t>mapearse posteriormente a valores numéricos (p. ej. 1 a 5). [web:27]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>No existe / no se aplica.</w:t>
      </w:r>
    </w:p>
    <w:p>
      <w:pPr>
        <w:pStyle w:val="ListBullet"/>
        <w:keepLines w:val="1"/>
        <w:keepNext w:val="1"/>
        <w:widowControl w:val="1"/>
      </w:pPr>
      <w:r>
        <w:t>Existencia incipiente / informal.</w:t>
      </w:r>
    </w:p>
    <w:p>
      <w:pPr>
        <w:pStyle w:val="ListBullet"/>
        <w:keepLines w:val="1"/>
        <w:keepNext w:val="1"/>
        <w:widowControl w:val="1"/>
      </w:pPr>
      <w:r>
        <w:t>Existencia formal limitada.</w:t>
      </w:r>
    </w:p>
    <w:p>
      <w:pPr>
        <w:pStyle w:val="ListBullet"/>
        <w:keepLines w:val="1"/>
        <w:keepNext w:val="1"/>
        <w:widowControl w:val="1"/>
      </w:pPr>
      <w:r>
        <w:t>Existencia formal consolidada.</w:t>
      </w:r>
    </w:p>
    <w:p>
      <w:pPr>
        <w:pStyle w:val="ListBullet"/>
        <w:keepLines w:val="1"/>
        <w:widowControl w:val="1"/>
      </w:pPr>
      <w:r>
        <w:t>Existencia formal integrada y gestionada con métricas.</w:t>
      </w:r>
    </w:p>
    <w:p>
      <w:r>
        <w:t>Esta lógica permite calcular índices de madurez por bloque y un Índice Global de</w:t>
      </w:r>
      <w:r/>
      <w:r>
        <w:br/>
        <w:t>Madurez (IGM).</w:t>
      </w:r>
    </w:p>
    <w:p>
      <w:pPr>
        <w:pStyle w:val="Heading4"/>
        <w:keepNext/>
        <w:keepLines/>
      </w:pPr>
      <w:r>
        <w:t>4.2. Rango de porcentajes</w:t>
      </w:r>
    </w:p>
    <w:p>
      <w:r>
        <w:t>Las preguntas de porcentaje (0–25 %, 26–50 %, etc.) permiten:</w:t>
      </w:r>
      <w:r/>
      <w:r>
        <w:br/>
        <w:t>- Evitar pedir cifras exactas que pocas organizaciones conocen sin preparar.</w:t>
      </w:r>
      <w:r/>
      <w:r>
        <w:br/>
        <w:t>- Dar robustez estadística al consolidar resultados.</w:t>
      </w:r>
      <w:r/>
      <w:r>
        <w:br/>
        <w:t>- Mapear cada rango a un valor aproximado para análisis cuantitativos.</w:t>
      </w:r>
    </w:p>
    <w:p>
      <w:r>
        <w:t>Ejemplo de mapeo:</w:t>
      </w:r>
      <w:r/>
      <w:r>
        <w:br/>
        <w:t>- 0–25 % → 0,125</w:t>
      </w:r>
      <w:r/>
      <w:r>
        <w:br/>
        <w:t>- 26–50 % → 0,375</w:t>
      </w:r>
      <w:r/>
      <w:r>
        <w:br/>
        <w:t>- 51–75 % → 0,625</w:t>
      </w:r>
      <w:r/>
      <w:r>
        <w:br/>
        <w:t>- 76–95 % → 0,855</w:t>
      </w:r>
      <w:r/>
      <w:r>
        <w:br/>
        <w:t>- 96–100 % → 0,98</w:t>
      </w:r>
    </w:p>
    <w:p>
      <w:pPr>
        <w:pStyle w:val="Heading3"/>
        <w:keepNext/>
        <w:keepLines/>
      </w:pPr>
      <w:r>
        <w:t>5. Diseño para comparabilidad internacional</w:t>
      </w:r>
    </w:p>
    <w:p>
      <w:r>
        <w:t>Aunque se orienta al contexto español, la encuesta:</w:t>
      </w:r>
      <w:r/>
      <w:r>
        <w:br/>
        <w:t>- Emplea categorías alineadas con el texto del RGPD y guías de ENISA. [web:25][web:28]</w:t>
      </w:r>
      <w:r/>
      <w:r>
        <w:br/>
        <w:t>- Usa conceptos comunes a NIS2 (gestión de riesgos, incidentes, madurez sectorial). [web:22][web:26]</w:t>
      </w:r>
      <w:r/>
      <w:r>
        <w:br/>
        <w:t>- Se apoya en el lenguaje de ISO 27001/27701, para facilitar su uso en organizaciones certificadas. [web:23][web:27]</w:t>
      </w:r>
    </w:p>
    <w:p>
      <w:r>
        <w:t>Esto permite:</w:t>
      </w:r>
      <w:r/>
      <w:r>
        <w:br/>
        <w:t>- Comparar resultados entre países de la UE.</w:t>
      </w:r>
      <w:r/>
      <w:r>
        <w:br/>
        <w:t>- Mapear los resultados con indicadores globales de brechas e incidentes. [web:12]</w:t>
      </w:r>
      <w:r/>
      <w:r>
        <w:br/>
        <w:t>- Enlazar los resultados con cuadros de mando corporativos y de supervisores.</w:t>
      </w:r>
    </w:p>
    <w:p>
      <w:pPr>
        <w:pStyle w:val="Heading3"/>
        <w:keepNext/>
        <w:keepLines/>
      </w:pPr>
      <w:r>
        <w:t>6. Recomendaciones para la aplicación</w:t>
      </w:r>
    </w:p>
    <w:p>
      <w:pPr>
        <w:pStyle w:val="Heading4"/>
        <w:keepNext/>
        <w:keepLines/>
      </w:pPr>
      <w:r>
        <w:t>6.1. Perfil de la persona que responde</w:t>
      </w:r>
    </w:p>
    <w:p>
      <w:r>
        <w:t>Idealmente, la encuesta debe ser respondida por:</w:t>
      </w:r>
      <w:r/>
      <w:r>
        <w:br/>
        <w:t>- CISO, DPO/DPD o responsable de cumplimiento de protección de datos.</w:t>
      </w:r>
      <w:r/>
      <w:r>
        <w:br/>
        <w:t>- Con apoyo, cuando sea necesario, de responsables de TI, continuidad, riesgos y negocio.</w:t>
      </w:r>
    </w:p>
    <w:p>
      <w:r>
        <w:t>Se recomienda:</w:t>
      </w:r>
      <w:r/>
      <w:r>
        <w:br/>
        <w:t>- Responder en equipo cuando la organización es grande o compleja.</w:t>
      </w:r>
      <w:r/>
      <w:r>
        <w:br/>
        <w:t>- Dedicarse al menos 60–90 minutos para una respuesta reflexiva.</w:t>
      </w:r>
    </w:p>
    <w:p>
      <w:pPr>
        <w:pStyle w:val="Heading4"/>
        <w:keepNext/>
        <w:keepLines/>
      </w:pPr>
      <w:r>
        <w:t>6.2. Modalidad y soporte</w:t>
      </w:r>
    </w:p>
    <w:p>
      <w:r>
        <w:t>La encuesta puede implementarse:</w:t>
      </w:r>
      <w:r/>
      <w:r>
        <w:br/>
        <w:t>- En plataforma de encuestas online compatible con RGPD. [web:18][web:19]</w:t>
      </w:r>
      <w:r/>
      <w:r>
        <w:br/>
        <w:t>- En formato hoja de cálculo o formulario interno.</w:t>
      </w:r>
      <w:r/>
      <w:r>
        <w:br/>
        <w:t>- En entrevistas estructuradas, guiadas por consultores o equipos internos.</w:t>
      </w:r>
    </w:p>
    <w:p>
      <w:r>
        <w:t>En todos los casos, debe:</w:t>
      </w:r>
      <w:r/>
      <w:r>
        <w:br/>
        <w:t>- Informarse a los participantes sobre el tratamiento de sus respuestas.</w:t>
      </w:r>
      <w:r/>
      <w:r>
        <w:br/>
        <w:t>- Minimizar la recogida de datos personales innecesarios. [web:18][web:19][web:29]</w:t>
      </w:r>
    </w:p>
    <w:p>
      <w:pPr>
        <w:pStyle w:val="Heading3"/>
        <w:keepNext/>
        <w:keepLines/>
      </w:pPr>
      <w:r>
        <w:t>7. Cálculo del Índice Global de Madurez (IGM)</w:t>
      </w:r>
    </w:p>
    <w:p>
      <w:r>
        <w:t>El IGM es un indicador sintético que resume el nivel de madurez GDPR–ciberseguridad.</w:t>
      </w:r>
    </w:p>
    <w:p>
      <w:pPr>
        <w:pStyle w:val="Heading4"/>
        <w:keepNext/>
        <w:keepLines/>
      </w:pPr>
      <w:r>
        <w:t>7.1. Asignación de pesos</w:t>
      </w:r>
    </w:p>
    <w:p>
      <w:r>
        <w:t>Se propone asignar pesos a los bloques en función de su relevancia:</w:t>
      </w:r>
    </w:p>
    <w:p>
      <w:pPr>
        <w:pStyle w:val="ListBullet"/>
        <w:keepLines w:val="1"/>
        <w:keepNext w:val="1"/>
        <w:widowControl w:val="1"/>
      </w:pPr>
      <w:r>
        <w:t>Gobernanza y responsabilidad: 15 %</w:t>
      </w:r>
    </w:p>
    <w:p>
      <w:pPr>
        <w:pStyle w:val="ListBullet"/>
        <w:keepLines w:val="1"/>
        <w:keepNext w:val="1"/>
        <w:widowControl w:val="1"/>
      </w:pPr>
      <w:r>
        <w:t>Gestión del riesgo / EIPD: 15 %</w:t>
      </w:r>
    </w:p>
    <w:p>
      <w:pPr>
        <w:pStyle w:val="ListBullet"/>
        <w:keepLines w:val="1"/>
        <w:keepNext w:val="1"/>
        <w:widowControl w:val="1"/>
      </w:pPr>
      <w:r>
        <w:t>Medidas técnicas y organizativas: 20 %</w:t>
      </w:r>
    </w:p>
    <w:p>
      <w:pPr>
        <w:pStyle w:val="ListBullet"/>
        <w:keepLines w:val="1"/>
        <w:keepNext w:val="1"/>
        <w:widowControl w:val="1"/>
      </w:pPr>
      <w:r>
        <w:t>Notificación de brechas: 15 %</w:t>
      </w:r>
    </w:p>
    <w:p>
      <w:pPr>
        <w:pStyle w:val="ListBullet"/>
        <w:keepLines w:val="1"/>
        <w:keepNext w:val="1"/>
        <w:widowControl w:val="1"/>
      </w:pPr>
      <w:r>
        <w:t>Terceros y nube: 10 %</w:t>
      </w:r>
    </w:p>
    <w:p>
      <w:pPr>
        <w:pStyle w:val="ListBullet"/>
        <w:keepLines w:val="1"/>
        <w:keepNext w:val="1"/>
        <w:widowControl w:val="1"/>
      </w:pPr>
      <w:r>
        <w:t>Formación y cultura: 10 %</w:t>
      </w:r>
    </w:p>
    <w:p>
      <w:pPr>
        <w:pStyle w:val="ListBullet"/>
        <w:keepLines w:val="1"/>
        <w:keepNext w:val="1"/>
        <w:widowControl w:val="1"/>
      </w:pPr>
      <w:r>
        <w:t>Indicadores y métricas: 10 %</w:t>
      </w:r>
    </w:p>
    <w:p>
      <w:pPr>
        <w:pStyle w:val="ListBullet"/>
        <w:keepLines w:val="1"/>
        <w:keepNext w:val="1"/>
        <w:widowControl w:val="1"/>
      </w:pPr>
      <w:r>
        <w:t>Resultados regulatorios: 3 %</w:t>
      </w:r>
    </w:p>
    <w:p>
      <w:pPr>
        <w:pStyle w:val="ListBullet"/>
        <w:keepLines w:val="1"/>
        <w:widowControl w:val="1"/>
      </w:pPr>
      <w:r>
        <w:t>Innovación e IA: 2 %</w:t>
      </w:r>
    </w:p>
    <w:p>
      <w:r>
        <w:t>Los pesos pueden ajustarse según sector (p. ej. más peso a brechas en salud o</w:t>
      </w:r>
      <w:r/>
      <w:r>
        <w:br/>
        <w:t>finanzas).</w:t>
      </w:r>
    </w:p>
    <w:p>
      <w:pPr>
        <w:pStyle w:val="Heading4"/>
        <w:keepNext/>
        <w:keepLines/>
      </w:pPr>
      <w:r>
        <w:t>7.2. Escalado de respuestas</w:t>
      </w:r>
    </w:p>
    <w:p>
      <w:r>
        <w:t>Para cada pregunta:</w:t>
      </w:r>
      <w:r/>
      <w:r>
        <w:br/>
        <w:t>- Se asigna un valor entre 0 y 1 según la opción seleccionada.</w:t>
      </w:r>
      <w:r/>
      <w:r>
        <w:br/>
        <w:t>- Se calcula la media de las preguntas de cada bloque.</w:t>
      </w:r>
      <w:r/>
      <w:r>
        <w:br/>
        <w:t>- Se multiplica por el peso del bloque.</w:t>
      </w:r>
      <w:r/>
      <w:r>
        <w:br/>
        <w:t>- Se suma para obtener el IGM global (0 a 1), que puede expresarse en porcentaje.</w:t>
      </w:r>
    </w:p>
    <w:p>
      <w:pPr>
        <w:pStyle w:val="Heading4"/>
        <w:keepNext/>
        <w:keepLines/>
      </w:pPr>
      <w:r>
        <w:t>7.3. Niveles de madurez</w:t>
      </w:r>
    </w:p>
    <w:p>
      <w:r>
        <w:t>Ejemplo de niveles:</w:t>
      </w:r>
    </w:p>
    <w:p>
      <w:pPr>
        <w:pStyle w:val="ListBullet"/>
        <w:keepLines w:val="1"/>
        <w:keepNext w:val="1"/>
        <w:widowControl w:val="1"/>
      </w:pPr>
      <w:r>
        <w:t>0,00–0,24: Reactivo – cumplimiento “por accidente”.</w:t>
      </w:r>
    </w:p>
    <w:p>
      <w:pPr>
        <w:pStyle w:val="ListBullet"/>
        <w:keepLines w:val="1"/>
        <w:keepNext w:val="1"/>
        <w:widowControl w:val="1"/>
      </w:pPr>
      <w:r>
        <w:t>0,25–0,49: Básico – controles mínimos, alto riesgo residual.</w:t>
      </w:r>
    </w:p>
    <w:p>
      <w:pPr>
        <w:pStyle w:val="ListBullet"/>
        <w:keepLines w:val="1"/>
        <w:keepNext w:val="1"/>
        <w:widowControl w:val="1"/>
      </w:pPr>
      <w:r>
        <w:t>0,50–0,69: Intermedio – estructura razonable, lagunas relevantes.</w:t>
      </w:r>
    </w:p>
    <w:p>
      <w:pPr>
        <w:pStyle w:val="ListBullet"/>
        <w:keepLines w:val="1"/>
        <w:keepNext w:val="1"/>
        <w:widowControl w:val="1"/>
      </w:pPr>
      <w:r>
        <w:t>0,70–0,84: Avanzado – modelo robusto, mejora continua.</w:t>
      </w:r>
    </w:p>
    <w:p>
      <w:pPr>
        <w:pStyle w:val="ListBullet"/>
        <w:keepLines w:val="1"/>
        <w:widowControl w:val="1"/>
      </w:pPr>
      <w:r>
        <w:t>0,85–1,00: Líder – referencia sectorial, convergencia con marcos globales.</w:t>
      </w:r>
    </w:p>
    <w:p>
      <w:pPr>
        <w:pStyle w:val="Heading3"/>
        <w:keepNext/>
        <w:keepLines/>
      </w:pPr>
      <w:r>
        <w:t>8. Cálculo de ROI de iniciativas de cumplimiento</w:t>
      </w:r>
    </w:p>
    <w:p>
      <w:r>
        <w:t>La encuesta recoge información necesaria para:</w:t>
      </w:r>
      <w:r/>
      <w:r>
        <w:br/>
        <w:t>- Estimar la inversión en medidas de seguridad y cumplimiento.</w:t>
      </w:r>
      <w:r/>
      <w:r>
        <w:br/>
        <w:t>- Estimar el coste de incidentes actuales y potencialmente evitados. [web:12][web:28]</w:t>
      </w:r>
      <w:r/>
      <w:r>
        <w:br/>
        <w:t>- Cuantificar el beneficio de reducción de exposición a sanciones regulatorias e impactos reputacionales.</w:t>
      </w:r>
    </w:p>
    <w:p>
      <w:r>
        <w:t>La plantilla de Excel asociada (ver documento específico) propone:</w:t>
      </w:r>
      <w:r/>
      <w:r>
        <w:br/>
        <w:t>- Relacionar inversiones por bloque con reducciones de riesgo (probabilidad × impacto).</w:t>
      </w:r>
      <w:r/>
      <w:r>
        <w:br/>
        <w:t>- Estimar el ahorro neto (beneficios – costes).</w:t>
      </w:r>
      <w:r/>
      <w:r>
        <w:br/>
        <w:t>- Calcular ROI y payback de iniciativas.</w:t>
      </w:r>
    </w:p>
    <w:p>
      <w:pPr>
        <w:pStyle w:val="Heading3"/>
        <w:keepNext/>
        <w:keepLines/>
      </w:pPr>
      <w:r>
        <w:t>9. Privacidad de las respuestas y uso ético</w:t>
      </w:r>
    </w:p>
    <w:p>
      <w:r>
        <w:t>En tanto hablamos de RGPD, sería irónico no aplicarlo al propio instrumento:</w:t>
      </w:r>
    </w:p>
    <w:p>
      <w:pPr>
        <w:pStyle w:val="ListBullet"/>
        <w:keepLines w:val="1"/>
        <w:keepNext w:val="1"/>
        <w:widowControl w:val="1"/>
      </w:pPr>
      <w:r>
        <w:t>Limitar datos identificativos al mínimo estrictamente necesario.</w:t>
      </w:r>
    </w:p>
    <w:p>
      <w:pPr>
        <w:pStyle w:val="ListBullet"/>
        <w:keepLines w:val="1"/>
        <w:keepNext w:val="1"/>
        <w:widowControl w:val="1"/>
      </w:pPr>
      <w:r>
        <w:t>Informar claramente sobre finalidad y plazo de conservación. [web:29]</w:t>
      </w:r>
    </w:p>
    <w:p>
      <w:pPr>
        <w:pStyle w:val="ListBullet"/>
        <w:keepLines w:val="1"/>
        <w:keepNext w:val="1"/>
        <w:widowControl w:val="1"/>
      </w:pPr>
      <w:r>
        <w:t>Garantizar medidas técnicas adecuadas de seguridad (cifrado, control de acceso). [web:18][web:20]</w:t>
      </w:r>
    </w:p>
    <w:p>
      <w:pPr>
        <w:pStyle w:val="ListBullet"/>
        <w:keepLines w:val="1"/>
        <w:widowControl w:val="1"/>
      </w:pPr>
      <w:r>
        <w:t>Posibilitar ejercicio de derechos sobre los datos recogidos.</w:t>
      </w:r>
    </w:p>
    <w:p>
      <w:pPr>
        <w:pStyle w:val="Heading3"/>
        <w:keepNext/>
        <w:keepLines/>
      </w:pPr>
      <w:r>
        <w:t>10. Interpretación y uso de resultados</w:t>
      </w:r>
    </w:p>
    <w:p>
      <w:r>
        <w:t>Los resultados deben usarse para:</w:t>
      </w:r>
      <w:r/>
      <w:r>
        <w:br/>
        <w:t>- Identificar áreas prioritarias de mejora.</w:t>
      </w:r>
      <w:r/>
      <w:r>
        <w:br/>
        <w:t>- Diseñar planes de acción específicos con métricas de seguimiento.</w:t>
      </w:r>
      <w:r/>
      <w:r>
        <w:br/>
        <w:t>- Comparar la organización con su sector o con medias nacionales/internacionales.</w:t>
      </w:r>
    </w:p>
    <w:p>
      <w:r>
        <w:t>No deberían usarse para:</w:t>
      </w:r>
      <w:r/>
      <w:r>
        <w:br/>
        <w:t>- Cazar culpables individuales.</w:t>
      </w:r>
      <w:r/>
      <w:r>
        <w:br/>
        <w:t>- Justificar de antemano decisiones políticas (“la encuesta dice lo que queríamos oír”).</w:t>
      </w:r>
    </w:p>
    <w:p>
      <w:r>
        <w:t>En definitiva, la encuesta es un espejo: puede ser cruel, pero rara vez miente.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