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Escala: 0 = No cumple, 1 = Bajo, 2 = Medio, 3 = Alto.</w:t>
      </w:r>
      <w:r/>
      <w:r>
        <w:br/>
        <w:t>PRAGMATIC: P (Predictivo), R (Relevante), A (Accionable), G (Genuino),</w:t>
      </w:r>
      <w:r/>
      <w:r>
        <w:br/>
        <w:t>M (Significativo), P2 (Preciso), T (Oportuno), I (Independiente), C (Rentable).</w:t>
      </w:r>
    </w:p>
    <w:p>
      <w:pPr>
        <w:pStyle w:val="Heading2"/>
        <w:keepNext/>
        <w:keepLines/>
      </w:pPr>
      <w:r>
        <w:rPr>
          <w:color w:val="0066CC"/>
        </w:rPr>
        <w:t>Tabla resumen de 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GQM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sintético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brechas notificadas/año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Muy relevante para G1, descriptiva más que predictiva.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total de incidentes con impacto en datos personales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G1, G3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Mejora visión global, algo costosa de medir con precisión.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brechas mitigadas por medidas técnicas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G1, G2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Conecta calidad de controles con impacto real.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Importe total de sanciones RGPD/año (seguridad)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Potente como indicador de resultado y presión externa.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M1.5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reclamaciones sobre seguridad del tratamiento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Buena alerta temprana de problemas de percepción/realidad.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datos en reposo cifrados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estructural clave, relativamente barata de obtener.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datos en tránsito cifrados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Similar a M2.1, imprescindible en cuadros de mando técnicos.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sistemas con MFA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Directamente accionable (lista clara de sistemas pendientes).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parcheo de vulnerabilidades críticas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G2, G3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Altamente predictiva del riesgo de explotación.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tratamientos con análisis de riesgos/EIPD actualizados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G2, 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Mide profundidad del enfoque basado en el riesgo.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M2.6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Nivel de madurez ISO 27001/27701 o NIS2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G2, 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Útil pero más subjetiva; conviene complementarla.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MTTR-detección de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Núcleo de capacidad SOC; muy accionable.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MTTR-respuesta/contención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Complementa a M3.1 y orienta inversiones en respuesta.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brechas notificadas &lt; 72 h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G3, 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Directamente ligado a cumplimiento RGPD art. 33.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simulacros de incidentes/año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G3, 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Bajo coste, alto valor cultural y operativo.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M3.5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medio de acciones de mejora tras incidentes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G3, 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Conecta incidentes con aprendizaje organizativo.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proveedores evaluados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Clave para cadena de suministro; requiere buena inventariación.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proveedores críticos certificados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Facilita priorización de remediación y negociación contractual.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incidentes originados en terceros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G4, G1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de resultado centrada en cadena de suministro.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proveedores monitorizados continuamente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Aporta visibilidad continua, pero herramientas pueden ser costosas.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Existencia y actualización de cuadro de mando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binaria pero esencial para gobernanza basada en datos.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IGM global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Gran capacidad de síntesis; requiere interpretar sus componentes.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reportes anuales al consejo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Refuerza accountability y supervisión.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M5.4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empleados con formación actualizada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G5, G2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Indicador cultural clave, fácil de medir por RR. HH.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M5.5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ROI estimado de iniciativas clave de cumplimiento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G5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Potente para decisión de inversión, pero depende de supuestos.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Comentarios adicionales por criterio</w:t>
      </w:r>
    </w:p>
    <w:p>
      <w:pPr>
        <w:pStyle w:val="ListBullet"/>
        <w:keepLines w:val="1"/>
        <w:keepNext w:val="1"/>
        <w:widowControl w:val="1"/>
      </w:pPr>
      <w:r>
        <w:t>Métricas como M3.1 y M3.2 puntúan alto en Predictivo y Accionable: reducciones</w:t>
        <w:br/>
        <w:t xml:space="preserve">  en MTTR se correlacionan con reducción de impacto de incidentes y orientan</w:t>
        <w:br/>
        <w:t xml:space="preserve">  la inversión en capacidades de detección y respuesta. [web:25][web:22]</w:t>
      </w:r>
    </w:p>
    <w:p>
      <w:pPr>
        <w:pStyle w:val="ListBullet"/>
        <w:keepLines w:val="1"/>
        <w:keepNext w:val="1"/>
        <w:widowControl w:val="1"/>
      </w:pPr>
      <w:r>
        <w:t>M1.4 (sanciones anuales) es muy significativa y relevante, pero poco</w:t>
        <w:br/>
        <w:t xml:space="preserve">  predictiva por sí sola; refleja más bien la “factura” de años previos que</w:t>
        <w:br/>
        <w:t xml:space="preserve">  una predicción precisa de futuro. [web:3][web:6][web:11]</w:t>
      </w:r>
    </w:p>
    <w:p>
      <w:pPr>
        <w:pStyle w:val="ListBullet"/>
        <w:keepLines w:val="1"/>
        <w:keepNext w:val="1"/>
        <w:widowControl w:val="1"/>
      </w:pPr>
      <w:r>
        <w:t>M5.5 (ROI) es conceptualmente muy potente, pero su precisión depende de la</w:t>
        <w:br/>
        <w:t xml:space="preserve">  calidad de estimaciones de probabilidad e impacto; se recomienda usarla como</w:t>
        <w:br/>
        <w:t xml:space="preserve">  indicador de orden de magnitud, no de exactitud contable. [web:12]</w:t>
      </w:r>
    </w:p>
    <w:p>
      <w:pPr>
        <w:pStyle w:val="ListBullet"/>
        <w:keepLines w:val="1"/>
        <w:widowControl w:val="1"/>
      </w:pPr>
      <w:r>
        <w:t>Métricas redundantes o poco independientes deberían ser consolidadas (p. ej.</w:t>
        <w:br/>
        <w:t xml:space="preserve">  M2.1 y M2.2 pueden combinarse en un índice de “cobertura de cifrado”).</w:t>
      </w:r>
    </w:p>
    <w:p>
      <w:r>
        <w:t>Esta matriz puede extenderse con métricas adicionales específicas de sector</w:t>
      </w:r>
      <w:r/>
      <w:r>
        <w:br/>
        <w:t>(salud, finanzas, energía) manteniendo la misma lógica de evaluación.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