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Marco GQM + PRAGMATIC</w:t>
      </w:r>
    </w:p>
    <w:p>
      <w:r>
        <w:t>El RGPD nos obliga a justificar nuestras medidas de seguridad con algo más que</w:t>
      </w:r>
      <w:r/>
      <w:r>
        <w:br/>
        <w:t>frases solemnes sobre la importancia de los datos personales. El enfoque basado</w:t>
      </w:r>
      <w:r/>
      <w:r>
        <w:br/>
        <w:t>en el riesgo exige demostrar que sabemos qué queremos lograr, qué preguntas nos</w:t>
      </w:r>
      <w:r/>
      <w:r>
        <w:br/>
        <w:t>hemos hecho y qué datos utilizamos para responderlas. La metodología GQM aporta</w:t>
      </w:r>
      <w:r/>
      <w:r>
        <w:br/>
        <w:t>este hilo conductor: de los objetivos estratégicos a las métricas concretas. [web:9][web:28]</w:t>
      </w:r>
    </w:p>
    <w:p>
      <w:r>
        <w:t>Sin embargo, no todas las métricas son iguales. Algunas son fuegos artificiales</w:t>
      </w:r>
      <w:r/>
      <w:r>
        <w:br/>
        <w:t>(impresionan en presentaciones, pero poco más), otras son trampas de incentivos</w:t>
      </w:r>
      <w:r/>
      <w:r>
        <w:br/>
        <w:t>(premian el maquillaje de cifras) y unas pocas son realmente útiles para decidir.</w:t>
      </w:r>
      <w:r/>
      <w:r>
        <w:br/>
        <w:t>Los criterios PRAGMATIC nos sirven como detector de humo: permiten evaluar si una</w:t>
      </w:r>
      <w:r/>
      <w:r>
        <w:br/>
        <w:t>métrica es predictiva, relevante, accionable, genuina, significativa, precisa,</w:t>
      </w:r>
      <w:r/>
      <w:r>
        <w:br/>
        <w:t>oportuna, independiente y rentable.</w:t>
      </w:r>
    </w:p>
    <w:p>
      <w:r>
        <w:t>Aplicado al contexto del informe de indicadores RGPD, este doble enfoque tiene</w:t>
      </w:r>
      <w:r/>
      <w:r>
        <w:br/>
        <w:t>varias virtudes: [web:14][web:25][web:22][web:26][web:23][web:27][web:12][web:6][web:11]</w:t>
      </w:r>
    </w:p>
    <w:p>
      <w:pPr>
        <w:pStyle w:val="ListNumber"/>
        <w:keepLines w:val="1"/>
        <w:keepNext w:val="1"/>
        <w:widowControl w:val="1"/>
      </w:pPr>
      <w:r>
        <w:t>Alinea los indicadores técnicos (MTTR, porcentajes de cifrado, cobertura de</w:t>
        <w:br/>
        <w:t xml:space="preserve">   MFA, etc.) con objetivos claramente formulados: menos brechas graves, menos</w:t>
        <w:br/>
        <w:t xml:space="preserve">   impacto sobre personas, menor exposición a sanciones, mayor resiliencia.</w:t>
      </w:r>
    </w:p>
    <w:p>
      <w:pPr>
        <w:pStyle w:val="ListNumber"/>
        <w:keepLines w:val="1"/>
        <w:keepNext w:val="1"/>
        <w:widowControl w:val="1"/>
      </w:pPr>
      <w:r>
        <w:t>Obliga a depurar el catálogo de métricas: no se trata de medir todo, sino de</w:t>
        <w:br/>
        <w:t xml:space="preserve">   medir lo que realmente cambia decisiones y reduce riesgo.</w:t>
      </w:r>
    </w:p>
    <w:p>
      <w:pPr>
        <w:pStyle w:val="ListNumber"/>
        <w:keepLines w:val="1"/>
        <w:keepNext w:val="1"/>
        <w:widowControl w:val="1"/>
      </w:pPr>
      <w:r>
        <w:t>Facilita la trazabilidad regulatoria: cada métrica puede relacionarse con uno</w:t>
        <w:br/>
        <w:t xml:space="preserve">   o varios artículos del RGPD y con guías específicas (EDPB, ENISA, AEPD), lo</w:t>
        <w:br/>
        <w:t xml:space="preserve">   que simplifica la conversación con auditores y supervisores.</w:t>
      </w:r>
    </w:p>
    <w:p>
      <w:pPr>
        <w:pStyle w:val="ListNumber"/>
        <w:keepLines w:val="1"/>
        <w:widowControl w:val="1"/>
      </w:pPr>
      <w:r>
        <w:t>Integra la dimensión económica (ROI) sin caer en el simplismo, permitiendo</w:t>
        <w:br/>
        <w:t xml:space="preserve">   aproximar la relación entre inversiones de cumplimiento y reducción de costes</w:t>
        <w:br/>
        <w:t xml:space="preserve">   de incidentes y sanciones.</w:t>
      </w:r>
    </w:p>
    <w:p>
      <w:r>
        <w:t>El resultado esperado es un ecosistema de indicadores en el que cada gráfico del</w:t>
      </w:r>
      <w:r/>
      <w:r>
        <w:br/>
        <w:t>cuadro de mando pueda responder, sin sonrojo, a cuatro preguntas básicas:</w:t>
      </w:r>
    </w:p>
    <w:p>
      <w:pPr>
        <w:pStyle w:val="ListBullet"/>
        <w:keepLines w:val="1"/>
        <w:keepNext w:val="1"/>
        <w:widowControl w:val="1"/>
      </w:pPr>
      <w:r>
        <w:t>¿Qué objetivo regulatorio o estratégico estoy persiguiendo?</w:t>
      </w:r>
    </w:p>
    <w:p>
      <w:pPr>
        <w:pStyle w:val="ListBullet"/>
        <w:keepLines w:val="1"/>
        <w:keepNext w:val="1"/>
        <w:widowControl w:val="1"/>
      </w:pPr>
      <w:r>
        <w:t>¿Qué pregunta concreta quiero contestar con este indicador?</w:t>
      </w:r>
    </w:p>
    <w:p>
      <w:pPr>
        <w:pStyle w:val="ListBullet"/>
        <w:keepLines w:val="1"/>
        <w:keepNext w:val="1"/>
        <w:widowControl w:val="1"/>
      </w:pPr>
      <w:r>
        <w:t>¿Es esta métrica suficientemente buena según PRAGMATIC, o estoy coleccionando</w:t>
        <w:br/>
        <w:t xml:space="preserve">  números bonitos?</w:t>
      </w:r>
    </w:p>
    <w:p>
      <w:pPr>
        <w:pStyle w:val="ListBullet"/>
        <w:keepLines w:val="1"/>
        <w:widowControl w:val="1"/>
      </w:pPr>
      <w:r>
        <w:t>¿Qué decisión cambiaría si el valor de la métrica empeora o mejora?</w:t>
      </w:r>
    </w:p>
    <w:p>
      <w:r>
        <w:t>Cuando estas preguntas se responden con naturalidad, la organización deja de usar</w:t>
      </w:r>
      <w:r/>
      <w:r>
        <w:br/>
        <w:t>las métricas como atrezzo y empieza a usarlas como instrumento de gobierno.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