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Reporte Ejecutivo – GQM + PRAGMATIC</w:t>
      </w:r>
    </w:p>
    <w:p>
      <w:r>
        <w:t>Esta plantilla complementa la de indicadores/IGM anterior, haciendo explícita la</w:t>
      </w:r>
      <w:r/>
      <w:r>
        <w:br/>
        <w:t>conexión entre objetivos GQM, métricas y evaluación PRAGMATIC.</w:t>
      </w:r>
    </w:p>
    <w:p>
      <w:pPr>
        <w:pStyle w:val="Heading3"/>
        <w:keepNext/>
        <w:keepLines/>
      </w:pPr>
      <w: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«Indicadores RGPD – Marco GQM + PRAGMATIC»</w:t>
      </w:r>
    </w:p>
    <w:p>
      <w:pPr>
        <w:pStyle w:val="ListBullet"/>
        <w:keepLines w:val="1"/>
        <w:keepNext w:val="1"/>
        <w:widowControl w:val="1"/>
      </w:pPr>
      <w:r>
        <w:t>Subtítulo: «Estado de madurez y calidad de métricas»</w:t>
      </w:r>
    </w:p>
    <w:p>
      <w:pPr>
        <w:pStyle w:val="ListBullet"/>
        <w:keepLines w:val="1"/>
        <w:widowControl w:val="1"/>
      </w:pPr>
      <w:r>
        <w:t>Datos: organización, fecha, responsable.</w:t>
      </w:r>
    </w:p>
    <w:p>
      <w:pPr>
        <w:pStyle w:val="Heading3"/>
        <w:keepNext/>
        <w:keepLines/>
      </w:pPr>
      <w:r>
        <w:t>Diapositiva 2 – De objetivos a métricas</w:t>
      </w:r>
    </w:p>
    <w:p>
      <w:pPr>
        <w:pStyle w:val="ListBullet"/>
        <w:keepLines w:val="1"/>
        <w:keepNext w:val="1"/>
        <w:widowControl w:val="1"/>
      </w:pPr>
      <w:r>
        <w:t>Resumen visual de G1–G5.</w:t>
      </w:r>
    </w:p>
    <w:p>
      <w:pPr>
        <w:pStyle w:val="ListBullet"/>
        <w:keepLines w:val="1"/>
        <w:keepNext w:val="1"/>
        <w:widowControl w:val="1"/>
      </w:pPr>
      <w:r>
        <w:t>Diagrama: Objetivos → Preguntas → Métricas.</w:t>
      </w:r>
    </w:p>
    <w:p>
      <w:pPr>
        <w:pStyle w:val="ListBullet"/>
        <w:keepLines w:val="1"/>
        <w:widowControl w:val="1"/>
      </w:pPr>
      <w:r>
        <w:t>Mensaje: «cada número del cuadro de mando responde a una pregunta concreta».</w:t>
      </w:r>
    </w:p>
    <w:p>
      <w:pPr>
        <w:pStyle w:val="Heading3"/>
        <w:keepNext/>
        <w:keepLines/>
      </w:pPr>
      <w:r>
        <w:t>Diapositiva 3 – Calidad de métricas (PRAGMATIC)</w:t>
      </w:r>
    </w:p>
    <w:p>
      <w:pPr>
        <w:pStyle w:val="ListBullet"/>
        <w:keepLines w:val="1"/>
        <w:keepNext w:val="1"/>
        <w:widowControl w:val="1"/>
      </w:pPr>
      <w:r>
        <w:t>Explicación breve de PRAGMATIC (una frase por letra).</w:t>
      </w:r>
    </w:p>
    <w:p>
      <w:pPr>
        <w:pStyle w:val="ListBullet"/>
        <w:keepLines w:val="1"/>
        <w:keepNext w:val="1"/>
        <w:widowControl w:val="1"/>
      </w:pPr>
      <w:r>
        <w:t>Gráfico de barras con PRAGMATIC medio por métrica o por grupo.</w:t>
      </w:r>
    </w:p>
    <w:p>
      <w:pPr>
        <w:pStyle w:val="ListBullet"/>
        <w:keepLines w:val="1"/>
        <w:keepNext w:val="1"/>
        <w:widowControl w:val="1"/>
      </w:pPr>
      <w:r>
        <w:t>Identificar:</w:t>
      </w:r>
    </w:p>
    <w:p>
      <w:pPr>
        <w:pStyle w:val="ListBullet"/>
        <w:keepLines w:val="1"/>
        <w:keepNext w:val="1"/>
        <w:widowControl w:val="1"/>
      </w:pPr>
      <w:r>
        <w:t>métricas «estrella» (≥ 2,5),</w:t>
      </w:r>
    </w:p>
    <w:p>
      <w:pPr>
        <w:pStyle w:val="ListBullet"/>
        <w:keepLines w:val="1"/>
        <w:keepNext w:val="1"/>
        <w:widowControl w:val="1"/>
      </w:pPr>
      <w:r>
        <w:t>métricas «audiovisuales» (quedan bien, pero aportan poco),</w:t>
      </w:r>
    </w:p>
    <w:p>
      <w:pPr>
        <w:pStyle w:val="ListBullet"/>
        <w:keepLines w:val="1"/>
        <w:widowControl w:val="1"/>
      </w:pPr>
      <w:r>
        <w:t>métricas «por revisar» (&lt; 1,5).</w:t>
      </w:r>
    </w:p>
    <w:p>
      <w:pPr>
        <w:pStyle w:val="Heading3"/>
        <w:keepNext/>
        <w:keepLines/>
      </w:pPr>
      <w:r>
        <w:t>Diapositiva 4 – IGM basado en métricas de alta calidad</w:t>
      </w:r>
    </w:p>
    <w:p>
      <w:pPr>
        <w:pStyle w:val="ListBullet"/>
        <w:keepLines w:val="1"/>
        <w:keepNext w:val="1"/>
        <w:widowControl w:val="1"/>
      </w:pPr>
      <w:r>
        <w:t>Radar o barras con IGM por bloque, calculado solo con métricas</w:t>
        <w:br/>
        <w:t xml:space="preserve">  con PRAGMATIC ≥ umbral.</w:t>
      </w:r>
    </w:p>
    <w:p>
      <w:pPr>
        <w:pStyle w:val="ListBullet"/>
        <w:keepLines w:val="1"/>
        <w:keepNext w:val="1"/>
        <w:widowControl w:val="1"/>
      </w:pPr>
      <w:r>
        <w:t>Nota al pie: «Indicadores filtrados por calidad PRAGMATIC».</w:t>
      </w:r>
    </w:p>
    <w:p>
      <w:pPr>
        <w:pStyle w:val="ListBullet"/>
        <w:keepLines w:val="1"/>
        <w:widowControl w:val="1"/>
      </w:pPr>
      <w:r>
        <w:t>Mensaje: «no solo medimos más, medimos mejor».</w:t>
      </w:r>
    </w:p>
    <w:p>
      <w:pPr>
        <w:pStyle w:val="Heading3"/>
        <w:keepNext/>
        <w:keepLines/>
      </w:pPr>
      <w:r>
        <w:t>Diapositiva 5 – Riesgos y brechas (G1)</w:t>
      </w:r>
    </w:p>
    <w:p>
      <w:pPr>
        <w:pStyle w:val="ListBullet"/>
        <w:keepLines w:val="1"/>
        <w:keepNext w:val="1"/>
        <w:widowControl w:val="1"/>
      </w:pPr>
      <w:r>
        <w:t>Tabla corta con M1.1–M1.5: brechas, incidentes, sanciones, reclamaciones. [web:1][web:3][web:6][web:11]</w:t>
      </w:r>
    </w:p>
    <w:p>
      <w:pPr>
        <w:pStyle w:val="ListBullet"/>
        <w:keepLines w:val="1"/>
        <w:keepNext w:val="1"/>
        <w:widowControl w:val="1"/>
      </w:pPr>
      <w:r>
        <w:t>Comentario sobre tendencias y comparativa con referencias externas (AEPD, UE). [web:14]</w:t>
      </w:r>
    </w:p>
    <w:p>
      <w:pPr>
        <w:pStyle w:val="ListBullet"/>
        <w:keepLines w:val="1"/>
        <w:widowControl w:val="1"/>
      </w:pPr>
      <w:r>
        <w:t>Destacar la relación entre medidas técnicas eficaces y reducción real de impacto.</w:t>
      </w:r>
    </w:p>
    <w:p>
      <w:pPr>
        <w:pStyle w:val="Heading3"/>
        <w:keepNext/>
        <w:keepLines/>
      </w:pPr>
      <w:r>
        <w:t>Diapositiva 6 – Capacidad de controles (G2)</w:t>
      </w:r>
    </w:p>
    <w:p>
      <w:pPr>
        <w:pStyle w:val="ListBullet"/>
        <w:keepLines w:val="1"/>
        <w:keepNext w:val="1"/>
        <w:widowControl w:val="1"/>
      </w:pPr>
      <w:r>
        <w:t>Visual con M2.1–M2.6: cifrado, MFA, parcheo, EIPD, madurez ISO/NIS2. [web:21][web:25][web:23][web:27][web:22]</w:t>
      </w:r>
    </w:p>
    <w:p>
      <w:pPr>
        <w:pStyle w:val="ListBullet"/>
        <w:keepLines w:val="1"/>
        <w:keepNext w:val="1"/>
        <w:widowControl w:val="1"/>
      </w:pPr>
      <w:r>
        <w:t>Mostrar brecha entre valor actual y objetivo.</w:t>
      </w:r>
    </w:p>
    <w:p>
      <w:pPr>
        <w:pStyle w:val="ListBullet"/>
        <w:keepLines w:val="1"/>
        <w:widowControl w:val="1"/>
      </w:pPr>
      <w:r>
        <w:t>Conectar explícitamente con artículos 24, 25 y 32 RGPD. [web:28]</w:t>
      </w:r>
    </w:p>
    <w:p>
      <w:pPr>
        <w:pStyle w:val="Heading3"/>
        <w:keepNext/>
        <w:keepLines/>
      </w:pPr>
      <w:r>
        <w:t>Diapositiva 7 – Operación y respuesta (G3)</w:t>
      </w:r>
    </w:p>
    <w:p>
      <w:pPr>
        <w:pStyle w:val="ListBullet"/>
        <w:keepLines w:val="1"/>
        <w:keepNext w:val="1"/>
        <w:widowControl w:val="1"/>
      </w:pPr>
      <w:r>
        <w:t>M3.1–M3.5: tiempos de detección, respuesta, % notificación &lt;72h, simulacros. [web:25][web:14][web:22]</w:t>
      </w:r>
    </w:p>
    <w:p>
      <w:pPr>
        <w:pStyle w:val="ListBullet"/>
        <w:keepLines w:val="1"/>
        <w:keepNext w:val="1"/>
        <w:widowControl w:val="1"/>
      </w:pPr>
      <w:r>
        <w:t>Escenario «qué pasaría si» reduciendo MTTR y aumentando simulacros.</w:t>
      </w:r>
    </w:p>
    <w:p>
      <w:pPr>
        <w:pStyle w:val="ListBullet"/>
        <w:keepLines w:val="1"/>
        <w:widowControl w:val="1"/>
      </w:pPr>
      <w:r>
        <w:t>Vincular con mejora en cumplimiento art. 33 y reducción de impacto económico. [web:28][web:12]</w:t>
      </w:r>
    </w:p>
    <w:p>
      <w:pPr>
        <w:pStyle w:val="Heading3"/>
        <w:keepNext/>
        <w:keepLines/>
      </w:pPr>
      <w:r>
        <w:t>Diapositiva 8 – Terceros y cadena de suministro (G4)</w:t>
      </w:r>
    </w:p>
    <w:p>
      <w:pPr>
        <w:pStyle w:val="ListBullet"/>
        <w:keepLines w:val="1"/>
        <w:keepNext w:val="1"/>
        <w:widowControl w:val="1"/>
      </w:pPr>
      <w:r>
        <w:t>M4.1–M4.4: evaluación de proveedores, certificaciones, incidentes por terceros, monitorización continua. [web:28][web:23][web:27][web:22]</w:t>
      </w:r>
    </w:p>
    <w:p>
      <w:pPr>
        <w:pStyle w:val="ListBullet"/>
        <w:keepLines w:val="1"/>
        <w:keepNext w:val="1"/>
        <w:widowControl w:val="1"/>
      </w:pPr>
      <w:r>
        <w:t>Subrayar dependencia de servicios cloud y proveedores críticos.</w:t>
      </w:r>
    </w:p>
    <w:p>
      <w:pPr>
        <w:pStyle w:val="ListBullet"/>
        <w:keepLines w:val="1"/>
        <w:widowControl w:val="1"/>
      </w:pPr>
      <w:r>
        <w:t>Señalar acciones prioritarias (evaluaciones, cláusulas, monitorización).</w:t>
      </w:r>
    </w:p>
    <w:p>
      <w:pPr>
        <w:pStyle w:val="Heading3"/>
        <w:keepNext/>
        <w:keepLines/>
      </w:pPr>
      <w:r>
        <w:t>Diapositiva 9 – Cultura, IGM y ROI (G5)</w:t>
      </w:r>
    </w:p>
    <w:p>
      <w:pPr>
        <w:pStyle w:val="ListBullet"/>
        <w:keepLines w:val="1"/>
        <w:keepNext w:val="1"/>
        <w:widowControl w:val="1"/>
      </w:pPr>
      <w:r>
        <w:t>M5.1–M5.5: existencia de cuadro de mando, IGM, formación, reportes al consejo, ROI. [web:23][web:27][web:12]</w:t>
      </w:r>
    </w:p>
    <w:p>
      <w:pPr>
        <w:pStyle w:val="ListBullet"/>
        <w:keepLines w:val="1"/>
        <w:keepNext w:val="1"/>
        <w:widowControl w:val="1"/>
      </w:pPr>
      <w:r>
        <w:t>Gráfico que muestre relación entre evolución de IGM y reducción de incidentes</w:t>
        <w:br/>
        <w:t xml:space="preserve">  o sanciones (cuando se disponga de series históricas). [web:6][web:11]</w:t>
      </w:r>
    </w:p>
    <w:p>
      <w:pPr>
        <w:pStyle w:val="ListBullet"/>
        <w:keepLines w:val="1"/>
        <w:widowControl w:val="1"/>
      </w:pPr>
      <w:r>
        <w:t>Mensaje: «la cultura se mide, y lo que se mide, mejora».</w:t>
      </w:r>
    </w:p>
    <w:p>
      <w:pPr>
        <w:pStyle w:val="Heading3"/>
        <w:keepNext/>
        <w:keepLines/>
      </w:pPr>
      <w:r>
        <w:t>Diapositiva 10 – Hoja de ruta basada en datos</w:t>
      </w:r>
    </w:p>
    <w:p>
      <w:pPr>
        <w:pStyle w:val="ListBullet"/>
        <w:keepLines w:val="1"/>
        <w:keepNext w:val="1"/>
        <w:widowControl w:val="1"/>
      </w:pPr>
      <w:r>
        <w:t>Tabla 3–5 iniciativas priorizadas:</w:t>
      </w:r>
    </w:p>
    <w:p>
      <w:pPr>
        <w:pStyle w:val="ListBullet"/>
        <w:keepLines w:val="1"/>
        <w:keepNext w:val="1"/>
        <w:widowControl w:val="1"/>
      </w:pPr>
      <w:r>
        <w:t>Métricas afectadas (ID Mx.y).</w:t>
      </w:r>
    </w:p>
    <w:p>
      <w:pPr>
        <w:pStyle w:val="ListBullet"/>
        <w:keepLines w:val="1"/>
        <w:keepNext w:val="1"/>
        <w:widowControl w:val="1"/>
      </w:pPr>
      <w:r>
        <w:t>Mejora esperada en IGM.</w:t>
      </w:r>
    </w:p>
    <w:p>
      <w:pPr>
        <w:pStyle w:val="ListBullet"/>
        <w:keepLines w:val="1"/>
        <w:keepNext w:val="1"/>
        <w:widowControl w:val="1"/>
      </w:pPr>
      <w:r>
        <w:t>ROI estimado.</w:t>
      </w:r>
    </w:p>
    <w:p>
      <w:pPr>
        <w:pStyle w:val="ListBullet"/>
        <w:keepLines w:val="1"/>
        <w:widowControl w:val="1"/>
      </w:pPr>
      <w:r>
        <w:t>Ordenar por combinación de impacto en riesgo y ROI.</w:t>
      </w:r>
    </w:p>
    <w:p>
      <w:pPr>
        <w:pStyle w:val="Heading3"/>
        <w:keepNext/>
        <w:keepLines/>
      </w:pPr>
      <w:r>
        <w:t>Diapositiva 11 – Conclusión y próximos pasos</w:t>
      </w:r>
    </w:p>
    <w:p>
      <w:pPr>
        <w:pStyle w:val="ListBullet"/>
        <w:keepLines w:val="1"/>
        <w:keepNext w:val="1"/>
        <w:widowControl w:val="1"/>
      </w:pPr>
      <w:r>
        <w:t>Resumen del nivel de madurez actual vs nivel objetivo.</w:t>
      </w:r>
    </w:p>
    <w:p>
      <w:pPr>
        <w:pStyle w:val="ListBullet"/>
        <w:keepLines w:val="1"/>
        <w:keepNext w:val="1"/>
        <w:widowControl w:val="1"/>
      </w:pPr>
      <w:r>
        <w:t>Compromisos propuestos:</w:t>
      </w:r>
    </w:p>
    <w:p>
      <w:pPr>
        <w:pStyle w:val="ListBullet"/>
        <w:keepLines w:val="1"/>
        <w:keepNext w:val="1"/>
        <w:widowControl w:val="1"/>
      </w:pPr>
      <w:r>
        <w:t>revisar métricas y PRAGMATIC anualmente,</w:t>
      </w:r>
    </w:p>
    <w:p>
      <w:pPr>
        <w:pStyle w:val="ListBullet"/>
        <w:keepLines w:val="1"/>
        <w:keepNext w:val="1"/>
        <w:widowControl w:val="1"/>
      </w:pPr>
      <w:r>
        <w:t>ajustar objetivos GQM a nueva regulación/amenazas,</w:t>
      </w:r>
    </w:p>
    <w:p>
      <w:pPr>
        <w:pStyle w:val="ListBullet"/>
        <w:keepLines w:val="1"/>
        <w:widowControl w:val="1"/>
      </w:pPr>
      <w:r>
        <w:t>integrar el cuadro de mando en la gobernanza corporativa habitual.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