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GRC nacionales de ciberseguridad (España)</w:t>
      </w:r>
    </w:p>
    <w:p>
      <w:r>
        <w:t>Versión 1.0 – 2026</w:t>
      </w:r>
    </w:p>
    <w:p>
      <w:pPr>
        <w:pStyle w:val="Heading2"/>
        <w:keepNext/>
        <w:keepLines/>
      </w:pPr>
      <w:r>
        <w:rPr>
          <w:color w:val="0066CC"/>
        </w:rPr>
        <w:t>1. Propósito del marco</w:t>
      </w:r>
    </w:p>
    <w:p>
      <w:r>
        <w:t>Este marco integra la metodología GQM (Goal–Question–Metric) con la evaluación PRAGMATIC para diseñar y evaluar indicadores nacionales de Gobernanza, Riesgo y Cumplimiento (GRC) en ciberseguridad, con énfasis en España y alineamiento con NIS2/NIS360, NIST CSF/RMF y las estrategias digitales nacionales y europeas.[web:9][web:12][web:13][web:5][web:3]</w:t>
      </w:r>
    </w:p>
    <w:p>
      <w:r>
        <w:t>El objetivo es garantizar que cada dato técnico recogido (métrica) pueda rastrearse hasta objetivos estratégicos nacionales y, al mismo tiempo, que cada métrica sea evaluada según los nueve criterios PRAGMATIC: Predictivo, Relevante, Accionable, Genuino, Significativo, Preciso, Oportuno, Independiente y Rentable.</w:t>
      </w:r>
    </w:p>
    <w:p>
      <w:pPr>
        <w:pStyle w:val="Heading2"/>
        <w:keepNext/>
        <w:keepLines/>
      </w:pPr>
      <w:r>
        <w:rPr>
          <w:color w:val="0066CC"/>
        </w:rPr>
        <w:t>2. Resumen de la metodología GQM</w:t>
      </w:r>
    </w:p>
    <w:p>
      <w:r>
        <w:t>La metodología GQM se articula en tres niveles:</w:t>
      </w:r>
    </w:p>
    <w:p>
      <w:pPr>
        <w:pStyle w:val="ListNumber"/>
        <w:keepLines w:val="1"/>
        <w:keepNext w:val="1"/>
        <w:widowControl w:val="1"/>
      </w:pPr>
      <w:r>
        <w:t xml:space="preserve">Goal (Objetivo): definir, en lenguaje de negocio y política pública, qué se pretende lograr o conocer.  </w:t>
      </w:r>
    </w:p>
    <w:p>
      <w:pPr>
        <w:pStyle w:val="ListNumber"/>
        <w:keepLines w:val="1"/>
        <w:keepNext w:val="1"/>
        <w:widowControl w:val="1"/>
      </w:pPr>
      <w:r>
        <w:t xml:space="preserve">Question (Pregunta): derivar cuestiones que, al responderse, permitan evaluar el grado de cumplimiento del objetivo.  </w:t>
      </w:r>
    </w:p>
    <w:p>
      <w:pPr>
        <w:pStyle w:val="ListNumber"/>
        <w:keepLines w:val="1"/>
        <w:widowControl w:val="1"/>
      </w:pPr>
      <w:r>
        <w:t>Metric (Métrica): definir medidas concretas (cuantitativas o cualitativas) que respondan a las preguntas.</w:t>
      </w:r>
    </w:p>
    <w:p>
      <w:r>
        <w:t xml:space="preserve">En este marco, los </w:t>
      </w:r>
      <w:r>
        <w:rPr>
          <w:b/>
        </w:rPr>
        <w:t>objetivos</w:t>
      </w:r>
      <w:r>
        <w:t xml:space="preserve"> se formulan a nivel nacional (por ejemplo, “reforzar la resiliencia de servicios esenciales conforme a NIS2”), las </w:t>
      </w:r>
      <w:r>
        <w:rPr>
          <w:b/>
        </w:rPr>
        <w:t>preguntas</w:t>
      </w:r>
      <w:r>
        <w:t xml:space="preserve"> se aplican a organizaciones individuales y las </w:t>
      </w:r>
      <w:r>
        <w:rPr>
          <w:b/>
        </w:rPr>
        <w:t>métricas</w:t>
      </w:r>
      <w:r>
        <w:t xml:space="preserve"> son datos que pueden agregarse y analizarse a nivel sectorial y país.[web:9][web:12]</w:t>
      </w:r>
    </w:p>
    <w:p>
      <w:pPr>
        <w:pStyle w:val="Heading2"/>
        <w:keepNext/>
        <w:keepLines/>
      </w:pPr>
      <w:r>
        <w:rPr>
          <w:color w:val="0066CC"/>
        </w:rPr>
        <w:t>3. Criterios PRAGMATIC</w:t>
      </w:r>
    </w:p>
    <w:p>
      <w:r>
        <w:t>Cada métrica definida se evalúa con los nueve criterios PRAGMATIC:</w:t>
      </w:r>
    </w:p>
    <w:p>
      <w:pPr>
        <w:pStyle w:val="ListBullet"/>
        <w:keepLines w:val="1"/>
        <w:keepNext w:val="1"/>
        <w:widowControl w:val="1"/>
      </w:pPr>
      <w:r>
        <w:t xml:space="preserve">P – Predictivo: ¿La métrica anticipa el futuro comportamiento del riesgo o la madurez?  </w:t>
      </w:r>
    </w:p>
    <w:p>
      <w:pPr>
        <w:pStyle w:val="ListBullet"/>
        <w:keepLines w:val="1"/>
        <w:keepNext w:val="1"/>
        <w:widowControl w:val="1"/>
      </w:pPr>
      <w:r>
        <w:t xml:space="preserve">R – Relevante: ¿Está claramente vinculada a objetivos estratégicos y normativos?  </w:t>
      </w:r>
    </w:p>
    <w:p>
      <w:pPr>
        <w:pStyle w:val="ListBullet"/>
        <w:keepLines w:val="1"/>
        <w:keepNext w:val="1"/>
        <w:widowControl w:val="1"/>
      </w:pPr>
      <w:r>
        <w:t xml:space="preserve">A – Accionable: ¿Sugiere acciones concretas o decisiones?  </w:t>
      </w:r>
    </w:p>
    <w:p>
      <w:pPr>
        <w:pStyle w:val="ListBullet"/>
        <w:keepLines w:val="1"/>
        <w:keepNext w:val="1"/>
        <w:widowControl w:val="1"/>
      </w:pPr>
      <w:r>
        <w:t xml:space="preserve">G – Genuino: ¿Mide lo que dice medir, sin efectos cosméticos?  </w:t>
      </w:r>
    </w:p>
    <w:p>
      <w:pPr>
        <w:pStyle w:val="ListBullet"/>
        <w:keepLines w:val="1"/>
        <w:keepNext w:val="1"/>
        <w:widowControl w:val="1"/>
      </w:pPr>
      <w:r>
        <w:t xml:space="preserve">M – Significativo (Meaningful): ¿Es comprensible y significativa para las partes interesadas?  </w:t>
      </w:r>
    </w:p>
    <w:p>
      <w:pPr>
        <w:pStyle w:val="ListBullet"/>
        <w:keepLines w:val="1"/>
        <w:keepNext w:val="1"/>
        <w:widowControl w:val="1"/>
      </w:pPr>
      <w:r>
        <w:t xml:space="preserve">P – Preciso (Precise): ¿Es suficientemente exacta y consistente?  </w:t>
      </w:r>
    </w:p>
    <w:p>
      <w:pPr>
        <w:pStyle w:val="ListBullet"/>
        <w:keepLines w:val="1"/>
        <w:keepNext w:val="1"/>
        <w:widowControl w:val="1"/>
      </w:pPr>
      <w:r>
        <w:t xml:space="preserve">T – Oportuno (Timely): ¿Está disponible con la frecuencia necesaria?  </w:t>
      </w:r>
    </w:p>
    <w:p>
      <w:pPr>
        <w:pStyle w:val="ListBullet"/>
        <w:keepLines w:val="1"/>
        <w:keepNext w:val="1"/>
        <w:widowControl w:val="1"/>
      </w:pPr>
      <w:r>
        <w:t xml:space="preserve">I – Independiente: ¿No es fácilmente manipulable ni dependiente de una única fuente sesgada?  </w:t>
      </w:r>
    </w:p>
    <w:p>
      <w:pPr>
        <w:pStyle w:val="ListBullet"/>
        <w:keepLines w:val="1"/>
        <w:widowControl w:val="1"/>
      </w:pPr>
      <w:r>
        <w:t>C – Rentable (Cost-effective): ¿Su obtención compensa el coste de medirla?</w:t>
      </w:r>
    </w:p>
    <w:p>
      <w:r>
        <w:t>Cada métrica se califica típicamente en una escala 0–3 para cada criterio (0 = no cumple, 1 = pobre, 2 = razonable, 3 = alto nivel), permitiendo una valoración global de su utilidad.</w:t>
      </w:r>
    </w:p>
    <w:p>
      <w:pPr>
        <w:pStyle w:val="Heading2"/>
        <w:keepNext/>
        <w:keepLines/>
      </w:pPr>
      <w:r>
        <w:rPr>
          <w:color w:val="0066CC"/>
        </w:rPr>
        <w:t>4. Dominios GRC nacionales y macro‑objetivos</w:t>
      </w:r>
    </w:p>
    <w:p>
      <w:r>
        <w:t>A partir del informe GRC previo, se consideran cuatro grandes dominios de indicadores nacionales:</w:t>
      </w:r>
    </w:p>
    <w:p>
      <w:pPr>
        <w:pStyle w:val="ListNumber"/>
        <w:keepLines w:val="1"/>
        <w:keepNext w:val="1"/>
        <w:widowControl w:val="1"/>
      </w:pPr>
      <w:r>
        <w:t xml:space="preserve">Gobernanza (GOB): marco institucional, estrategia, roles, métricas de alto nivel.[web:8][web:12]  </w:t>
      </w:r>
    </w:p>
    <w:p>
      <w:pPr>
        <w:pStyle w:val="ListNumber"/>
        <w:keepLines w:val="1"/>
        <w:keepNext w:val="1"/>
        <w:widowControl w:val="1"/>
      </w:pPr>
      <w:r>
        <w:t xml:space="preserve">Riesgo (RIESGO): incidentes, madurez vs. criticidad, gestión de riesgos.[web:9][web:3]  </w:t>
      </w:r>
    </w:p>
    <w:p>
      <w:pPr>
        <w:pStyle w:val="ListNumber"/>
        <w:keepLines w:val="1"/>
        <w:keepNext w:val="1"/>
        <w:widowControl w:val="1"/>
      </w:pPr>
      <w:r>
        <w:t xml:space="preserve">Cumplimiento (CUMP): alineamiento con NIS2, ENS, DORA, ISO 27001, etc.[web:9][web:5]  </w:t>
      </w:r>
    </w:p>
    <w:p>
      <w:pPr>
        <w:pStyle w:val="ListNumber"/>
        <w:keepLines w:val="1"/>
        <w:widowControl w:val="1"/>
      </w:pPr>
      <w:r>
        <w:t>Capacidades y resiliencia (CAP+RES): Zero Trust, detección y respuesta, continuidad, inversión.[web:1][web:3]</w:t>
      </w:r>
    </w:p>
    <w:p>
      <w:r>
        <w:t xml:space="preserve">Cada dominio se articula en objetivos GQM. A efectos prácticos, este marco se centra en un conjunto de </w:t>
      </w:r>
      <w:r>
        <w:rPr>
          <w:b/>
        </w:rPr>
        <w:t>indicadores tipo</w:t>
      </w:r>
      <w:r>
        <w:t xml:space="preserve"> representativos, que luego pueden extenderse.</w:t>
      </w:r>
    </w:p>
    <w:p>
      <w:pPr>
        <w:pStyle w:val="Heading2"/>
        <w:keepNext/>
        <w:keepLines/>
      </w:pPr>
      <w:r>
        <w:rPr>
          <w:color w:val="0066CC"/>
        </w:rPr>
        <w:t>5. Ejemplos de GQM por dominio</w:t>
      </w:r>
    </w:p>
    <w:p>
      <w:pPr>
        <w:pStyle w:val="Heading3"/>
        <w:keepNext/>
        <w:keepLines/>
      </w:pPr>
      <w:r>
        <w:t>5.1. Gobernanza (GOB)</w:t>
      </w:r>
    </w:p>
    <w:p>
      <w:r>
        <w:rPr>
          <w:b/>
        </w:rPr>
        <w:t>Objetivo GOB‑1:</w:t>
      </w:r>
      <w:r>
        <w:t xml:space="preserve"> Asegurar que las organizaciones críticas en España disponen de una gobernanza de ciberseguridad alineada con NIS2 y la Estrategia Nacional de Ciberseguridad.[web:9][web:3]</w:t>
      </w:r>
    </w:p>
    <w:p>
      <w:pPr>
        <w:pStyle w:val="ListBullet"/>
        <w:keepLines w:val="1"/>
        <w:keepNext w:val="1"/>
        <w:widowControl w:val="1"/>
      </w:pPr>
      <w:r>
        <w:t xml:space="preserve">Pregunta GOB‑1.1: ¿Las organizaciones cuentan con una estrategia formal de ciberseguridad aprobada por el máximo órgano de gobierno?  </w:t>
      </w:r>
    </w:p>
    <w:p>
      <w:pPr>
        <w:pStyle w:val="ListBullet"/>
        <w:keepLines w:val="1"/>
        <w:keepNext w:val="1"/>
        <w:widowControl w:val="1"/>
      </w:pPr>
      <w:r>
        <w:t xml:space="preserve">Métrica GOB‑1.1.a: Porcentaje de organizaciones críticas con estrategia de ciberseguridad formalmente aprobada en los últimos 3 años.  </w:t>
      </w:r>
    </w:p>
    <w:p>
      <w:pPr>
        <w:pStyle w:val="ListBullet"/>
        <w:keepLines w:val="1"/>
        <w:keepNext w:val="1"/>
        <w:widowControl w:val="1"/>
      </w:pPr>
      <w:r>
        <w:t xml:space="preserve">Pregunta GOB‑1.2: ¿Existe un responsable ejecutivo claro (CISO u equivalente) con acceso regular a la alta dirección?  </w:t>
      </w:r>
    </w:p>
    <w:p>
      <w:pPr>
        <w:pStyle w:val="ListBullet"/>
        <w:keepLines w:val="1"/>
        <w:keepNext w:val="1"/>
        <w:widowControl w:val="1"/>
      </w:pPr>
      <w:r>
        <w:t xml:space="preserve">Métrica GOB‑1.2.a: Porcentaje de organizaciones con CISO designado y acceso al consejo/comités al menos trimestralmente.  </w:t>
      </w:r>
    </w:p>
    <w:p>
      <w:pPr>
        <w:pStyle w:val="ListBullet"/>
        <w:keepLines w:val="1"/>
        <w:keepNext w:val="1"/>
        <w:widowControl w:val="1"/>
      </w:pPr>
      <w:r>
        <w:t xml:space="preserve">Pregunta GOB‑1.3: ¿Se dispone de cuadros de mando de ciberseguridad integrados en el reporting corporativo?  </w:t>
      </w:r>
    </w:p>
    <w:p>
      <w:pPr>
        <w:pStyle w:val="ListBullet"/>
        <w:keepLines w:val="1"/>
        <w:widowControl w:val="1"/>
      </w:pPr>
      <w:r>
        <w:t>Métrica GOB‑1.3.a: Porcentaje de organizaciones que reportan métricas de ciberseguridad al máximo órgano de gobierno al menos semestralmente.</w:t>
      </w:r>
    </w:p>
    <w:p>
      <w:pPr>
        <w:pStyle w:val="Heading3"/>
        <w:keepNext/>
        <w:keepLines/>
      </w:pPr>
      <w:r>
        <w:t>5.2. Riesgo (RIESGO)</w:t>
      </w:r>
    </w:p>
    <w:p>
      <w:r>
        <w:rPr>
          <w:b/>
        </w:rPr>
        <w:t>Objetivo RIESGO‑1:</w:t>
      </w:r>
      <w:r>
        <w:t xml:space="preserve"> Conocer y reducir la brecha entre criticidad de servicios y madurez de ciberseguridad, siguiendo el enfoque NIS360.[web:9][web:12]</w:t>
      </w:r>
    </w:p>
    <w:p>
      <w:pPr>
        <w:pStyle w:val="ListBullet"/>
        <w:keepLines w:val="1"/>
        <w:keepNext w:val="1"/>
        <w:widowControl w:val="1"/>
      </w:pPr>
      <w:r>
        <w:t xml:space="preserve">Pregunta RIESGO‑1.1: ¿Se han identificado y categorizado los servicios críticos según NIS2/estrategia nacional?  </w:t>
      </w:r>
    </w:p>
    <w:p>
      <w:pPr>
        <w:pStyle w:val="ListBullet"/>
        <w:keepLines w:val="1"/>
        <w:keepNext w:val="1"/>
        <w:widowControl w:val="1"/>
      </w:pPr>
      <w:r>
        <w:t xml:space="preserve">Métrica RIESGO‑1.1.a: Porcentaje de organizaciones que han mapeado servicios críticos a activos tecnológicos.  </w:t>
      </w:r>
    </w:p>
    <w:p>
      <w:pPr>
        <w:pStyle w:val="ListBullet"/>
        <w:keepLines w:val="1"/>
        <w:keepNext w:val="1"/>
        <w:widowControl w:val="1"/>
      </w:pPr>
      <w:r>
        <w:t xml:space="preserve">Pregunta RIESGO‑1.2: ¿En qué medida la madurez de ciberseguridad está alineada con la criticidad?  </w:t>
      </w:r>
    </w:p>
    <w:p>
      <w:pPr>
        <w:pStyle w:val="ListBullet"/>
        <w:keepLines w:val="1"/>
        <w:keepNext w:val="1"/>
        <w:widowControl w:val="1"/>
      </w:pPr>
      <w:r>
        <w:t xml:space="preserve">Métrica RIESGO‑1.2.a: Número de sectores en “zona de riesgo” (criticidad alta, madurez baja) según evaluación agregada.  </w:t>
      </w:r>
    </w:p>
    <w:p>
      <w:pPr>
        <w:pStyle w:val="ListBullet"/>
        <w:keepLines w:val="1"/>
        <w:keepNext w:val="1"/>
        <w:widowControl w:val="1"/>
      </w:pPr>
      <w:r>
        <w:t xml:space="preserve">Pregunta RIESGO‑1.3: ¿Con qué frecuencia se realizan análisis de riesgos formales?  </w:t>
      </w:r>
    </w:p>
    <w:p>
      <w:pPr>
        <w:pStyle w:val="ListBullet"/>
        <w:keepLines w:val="1"/>
        <w:widowControl w:val="1"/>
      </w:pPr>
      <w:r>
        <w:t>Métrica RIESGO‑1.3.a: Porcentaje de organizaciones que realizan análisis de riesgos al menos anualmente.</w:t>
      </w:r>
    </w:p>
    <w:p>
      <w:pPr>
        <w:pStyle w:val="Heading3"/>
        <w:keepNext/>
        <w:keepLines/>
      </w:pPr>
      <w:r>
        <w:t>5.3. Cumplimiento (CUMP)</w:t>
      </w:r>
    </w:p>
    <w:p>
      <w:r>
        <w:rPr>
          <w:b/>
        </w:rPr>
        <w:t>Objetivo CUMP‑1:</w:t>
      </w:r>
      <w:r>
        <w:t xml:space="preserve"> Asegurar que las organizaciones alcanzan y mantienen un nivel de cumplimiento adecuado con NIS2, ENS y marcos conexos.[web:9][web:5][web:12]</w:t>
      </w:r>
    </w:p>
    <w:p>
      <w:pPr>
        <w:pStyle w:val="ListBullet"/>
        <w:keepLines w:val="1"/>
        <w:keepNext w:val="1"/>
        <w:widowControl w:val="1"/>
      </w:pPr>
      <w:r>
        <w:t xml:space="preserve">Pregunta CUMP‑1.1: ¿Hasta qué punto las organizaciones cumplen los requisitos de gestión de riesgos de NIS2/ENS?  </w:t>
      </w:r>
    </w:p>
    <w:p>
      <w:pPr>
        <w:pStyle w:val="ListBullet"/>
        <w:keepLines w:val="1"/>
        <w:keepNext w:val="1"/>
        <w:widowControl w:val="1"/>
      </w:pPr>
      <w:r>
        <w:t xml:space="preserve">Métrica CUMP‑1.1.a: Porcentaje de organizaciones que declaran nivel de cumplimiento “alto” o “sistemático” con los marcos aplicables.  </w:t>
      </w:r>
    </w:p>
    <w:p>
      <w:pPr>
        <w:pStyle w:val="ListBullet"/>
        <w:keepLines w:val="1"/>
        <w:keepNext w:val="1"/>
        <w:widowControl w:val="1"/>
      </w:pPr>
      <w:r>
        <w:t xml:space="preserve">Pregunta CUMP‑1.2: ¿Se verifica el cumplimiento mediante auditorías internas/externas periódicas?  </w:t>
      </w:r>
    </w:p>
    <w:p>
      <w:pPr>
        <w:pStyle w:val="ListBullet"/>
        <w:keepLines w:val="1"/>
        <w:keepNext w:val="1"/>
        <w:widowControl w:val="1"/>
      </w:pPr>
      <w:r>
        <w:t xml:space="preserve">Métrica CUMP‑1.2.a: Porcentaje de organizaciones con auditorías de ciberseguridad realizadas en los últimos 24 meses.  </w:t>
      </w:r>
    </w:p>
    <w:p>
      <w:pPr>
        <w:pStyle w:val="ListBullet"/>
        <w:keepLines w:val="1"/>
        <w:keepNext w:val="1"/>
        <w:widowControl w:val="1"/>
      </w:pPr>
      <w:r>
        <w:t xml:space="preserve">Pregunta CUMP‑1.3: ¿Se dispone de inventarios de controles mapeados a requisitos normativos?  </w:t>
      </w:r>
    </w:p>
    <w:p>
      <w:pPr>
        <w:pStyle w:val="ListBullet"/>
        <w:keepLines w:val="1"/>
        <w:widowControl w:val="1"/>
      </w:pPr>
      <w:r>
        <w:t>Métrica CUMP‑1.3.a: Porcentaje de organizaciones con inventario de controles mapeado a NIS2/ENS/ISO 27001.</w:t>
      </w:r>
    </w:p>
    <w:p>
      <w:pPr>
        <w:pStyle w:val="Heading3"/>
        <w:keepNext/>
        <w:keepLines/>
      </w:pPr>
      <w:r>
        <w:t>5.4. Capacidades y resiliencia (CAP+RES)</w:t>
      </w:r>
    </w:p>
    <w:p>
      <w:r>
        <w:rPr>
          <w:b/>
        </w:rPr>
        <w:t>Objetivo CAP‑1:</w:t>
      </w:r>
      <w:r>
        <w:t xml:space="preserve"> Evaluar y mejorar la adopción de principios de Zero Trust, detección, respuesta y continuidad en las organizaciones clave.[web:1][web:9]</w:t>
      </w:r>
    </w:p>
    <w:p>
      <w:pPr>
        <w:pStyle w:val="ListBullet"/>
        <w:keepLines w:val="1"/>
        <w:keepNext w:val="1"/>
        <w:widowControl w:val="1"/>
      </w:pPr>
      <w:r>
        <w:t xml:space="preserve">Pregunta CAP‑1.1: ¿Cuál es el nivel de madurez en gestión de identidades y accesos (IAM/PAM, MFA)?  </w:t>
      </w:r>
    </w:p>
    <w:p>
      <w:pPr>
        <w:pStyle w:val="ListBullet"/>
        <w:keepLines w:val="1"/>
        <w:keepNext w:val="1"/>
        <w:widowControl w:val="1"/>
      </w:pPr>
      <w:r>
        <w:t xml:space="preserve">Métrica CAP‑1.1.a: Porcentaje de organizaciones con MFA extendido a todos los usuarios internos.  </w:t>
      </w:r>
    </w:p>
    <w:p>
      <w:pPr>
        <w:pStyle w:val="ListBullet"/>
        <w:keepLines w:val="1"/>
        <w:keepNext w:val="1"/>
        <w:widowControl w:val="1"/>
      </w:pPr>
      <w:r>
        <w:t xml:space="preserve">Pregunta CAP‑1.2: ¿Qué grado de adopción existe de arquitecturas Zero Trust / ZTNA/SASE?  </w:t>
      </w:r>
    </w:p>
    <w:p>
      <w:pPr>
        <w:pStyle w:val="ListBullet"/>
        <w:keepLines w:val="1"/>
        <w:keepNext w:val="1"/>
        <w:widowControl w:val="1"/>
      </w:pPr>
      <w:r>
        <w:t xml:space="preserve">Métrica CAP‑1.2.a: Porcentaje de organizaciones que utilizan ZTNA/SASE como modelo predominante de acceso remoto.  </w:t>
      </w:r>
    </w:p>
    <w:p>
      <w:pPr>
        <w:pStyle w:val="ListBullet"/>
        <w:keepLines w:val="1"/>
        <w:keepNext w:val="1"/>
        <w:widowControl w:val="1"/>
      </w:pPr>
      <w:r>
        <w:t xml:space="preserve">Pregunta CAP‑1.3: ¿Qué capacidades de detección y respuesta están desplegadas?  </w:t>
      </w:r>
    </w:p>
    <w:p>
      <w:pPr>
        <w:pStyle w:val="ListBullet"/>
        <w:keepLines w:val="1"/>
        <w:keepNext w:val="1"/>
        <w:widowControl w:val="1"/>
      </w:pPr>
      <w:r>
        <w:t xml:space="preserve">Métrica CAP‑1.3.a: Porcentaje de organizaciones con SOC (interno o gestionado) 24×7 con EDR/XDR.  </w:t>
      </w:r>
    </w:p>
    <w:p>
      <w:pPr>
        <w:pStyle w:val="ListBullet"/>
        <w:keepLines w:val="1"/>
        <w:keepNext w:val="1"/>
        <w:widowControl w:val="1"/>
      </w:pPr>
      <w:r>
        <w:t xml:space="preserve">Pregunta RES‑1.1: ¿La planificación de continuidad incluye escenarios de ciberincidentes?  </w:t>
      </w:r>
    </w:p>
    <w:p>
      <w:pPr>
        <w:pStyle w:val="ListBullet"/>
        <w:keepLines w:val="1"/>
        <w:widowControl w:val="1"/>
      </w:pPr>
      <w:r>
        <w:t>Métrica RES‑1.1.a: Porcentaje de organizaciones con BCP/DRP que contempla ciberataques y se prueba periódicamente.</w:t>
      </w:r>
    </w:p>
    <w:p>
      <w:pPr>
        <w:pStyle w:val="Heading2"/>
        <w:keepNext/>
        <w:keepLines/>
      </w:pPr>
      <w:r>
        <w:rPr>
          <w:color w:val="0066CC"/>
        </w:rPr>
        <w:t>6. Integración con la encuesta organizacional</w:t>
      </w:r>
    </w:p>
    <w:p>
      <w:r>
        <w:t>Las métricas anteriores se alimentan directamente de las respuestas de la encuesta GRC: cada pregunta de la encuesta se asocia a uno o más elementos GQM y a uno o más marcos normativos. El resultado es una cadena clara:</w:t>
      </w:r>
    </w:p>
    <w:p>
      <w:r>
        <w:t>Estrategia nacional → Objetivo GQM → Preguntas a organizaciones → Métricas agregadas → Decisiones de política pública.</w:t>
      </w:r>
    </w:p>
    <w:p>
      <w:r>
        <w:t>Esta trazabilidad permite evaluar no solo la madurez de las organizaciones, sino también la efectividad de la política nacional de ciberseguridad.</w:t>
      </w:r>
    </w:p>
    <w:p>
      <w:pPr>
        <w:pStyle w:val="Heading2"/>
        <w:keepNext/>
        <w:keepLines/>
      </w:pPr>
      <w:r>
        <w:rPr>
          <w:color w:val="0066CC"/>
        </w:rPr>
        <w:t>7. Aplicación del filtro PRAGMATIC</w:t>
      </w:r>
    </w:p>
    <w:p>
      <w:r>
        <w:t>Para cada métrica definida se elabora una mini‑ficha que incluye:</w:t>
      </w:r>
    </w:p>
    <w:p>
      <w:pPr>
        <w:pStyle w:val="ListBullet"/>
        <w:keepLines w:val="1"/>
        <w:keepNext w:val="1"/>
        <w:widowControl w:val="1"/>
      </w:pPr>
      <w:r>
        <w:t xml:space="preserve">Definición precisa de la métrica.  </w:t>
      </w:r>
    </w:p>
    <w:p>
      <w:pPr>
        <w:pStyle w:val="ListBullet"/>
        <w:keepLines w:val="1"/>
        <w:keepNext w:val="1"/>
        <w:widowControl w:val="1"/>
      </w:pPr>
      <w:r>
        <w:t xml:space="preserve">Fuente de datos (encuesta, registros nacionales, etc.).  </w:t>
      </w:r>
    </w:p>
    <w:p>
      <w:pPr>
        <w:pStyle w:val="ListBullet"/>
        <w:keepLines w:val="1"/>
        <w:keepNext w:val="1"/>
        <w:widowControl w:val="1"/>
      </w:pPr>
      <w:r>
        <w:t xml:space="preserve">Frecuencia de recogida.  </w:t>
      </w:r>
    </w:p>
    <w:p>
      <w:pPr>
        <w:pStyle w:val="ListBullet"/>
        <w:keepLines w:val="1"/>
        <w:keepNext w:val="1"/>
        <w:widowControl w:val="1"/>
      </w:pPr>
      <w:r>
        <w:t xml:space="preserve">Unidad de medida y rango esperado.  </w:t>
      </w:r>
    </w:p>
    <w:p>
      <w:pPr>
        <w:pStyle w:val="ListBullet"/>
        <w:keepLines w:val="1"/>
        <w:widowControl w:val="1"/>
      </w:pPr>
      <w:r>
        <w:t xml:space="preserve">Evaluación PRAGMATIC (0–3 en cada criterio).  </w:t>
      </w:r>
    </w:p>
    <w:p>
      <w:r>
        <w:t>Las métricas con baja puntuación global PRAGMATIC se revisan, redefinen o eliminan. No todo lo que es medible merece ser medido.</w:t>
      </w:r>
    </w:p>
    <w:p>
      <w:pPr>
        <w:pStyle w:val="Heading2"/>
        <w:keepNext/>
        <w:keepLines/>
      </w:pPr>
      <w:r>
        <w:rPr>
          <w:color w:val="0066CC"/>
        </w:rPr>
        <w:t>8. Uso del marco</w:t>
      </w:r>
    </w:p>
    <w:p>
      <w:r>
        <w:t>Este marco GQM + PRAGMATIC se utiliza como:</w:t>
      </w:r>
    </w:p>
    <w:p>
      <w:pPr>
        <w:pStyle w:val="ListBullet"/>
        <w:keepLines w:val="1"/>
        <w:keepNext w:val="1"/>
        <w:widowControl w:val="1"/>
      </w:pPr>
      <w:r>
        <w:t xml:space="preserve">Guía para diseñar y revisar indicadores nacionales.  </w:t>
      </w:r>
    </w:p>
    <w:p>
      <w:pPr>
        <w:pStyle w:val="ListBullet"/>
        <w:keepLines w:val="1"/>
        <w:keepNext w:val="1"/>
        <w:widowControl w:val="1"/>
      </w:pPr>
      <w:r>
        <w:t xml:space="preserve">Referencia para evaluar si nuevas métricas propuestas tienen sentido estratégico.  </w:t>
      </w:r>
    </w:p>
    <w:p>
      <w:pPr>
        <w:pStyle w:val="ListBullet"/>
        <w:keepLines w:val="1"/>
        <w:widowControl w:val="1"/>
      </w:pPr>
      <w:r>
        <w:t>Mecanismo de comunicación entre técnicos, gestores y responsables políticos.</w:t>
      </w:r>
    </w:p>
    <w:p>
      <w:r>
        <w:t>Si todo sale razonablemente bien, el resultado será un ecosistema de indicadores menos decorativo y más útil para decidir dónde invertir, qué regular y qué aceptar con un cierto estoicismo digital.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