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Matriz de Evaluación PRAGMATIC Completa para indicadores GRC nacionales</w:t>
      </w:r>
    </w:p>
    <w:p>
      <w:r>
        <w:t>Versión 1.0 – 2026</w:t>
      </w:r>
    </w:p>
    <w:p>
      <w:pPr>
        <w:pStyle w:val="Heading2"/>
        <w:keepNext/>
        <w:keepLines/>
      </w:pPr>
      <w:r>
        <w:rPr>
          <w:color w:val="0066CC"/>
        </w:rPr>
        <w:t>1. Introducción</w:t>
      </w:r>
    </w:p>
    <w:p>
      <w:r>
        <w:t>Esta matriz aplica los nueve criterios PRAGMATIC a un subconjunto representativo de indicadores GRC nacionales de ciberseguridad definidos en el marco GQM. La escala es de 0 a 3:</w:t>
      </w:r>
    </w:p>
    <w:p>
      <w:pPr>
        <w:pStyle w:val="ListBullet"/>
        <w:keepLines w:val="1"/>
        <w:keepNext w:val="1"/>
        <w:widowControl w:val="1"/>
      </w:pPr>
      <w:r>
        <w:t xml:space="preserve">0 = No cumple.  </w:t>
      </w:r>
    </w:p>
    <w:p>
      <w:pPr>
        <w:pStyle w:val="ListBullet"/>
        <w:keepLines w:val="1"/>
        <w:keepNext w:val="1"/>
        <w:widowControl w:val="1"/>
      </w:pPr>
      <w:r>
        <w:t xml:space="preserve">1 = Cumple pobremente.  </w:t>
      </w:r>
    </w:p>
    <w:p>
      <w:pPr>
        <w:pStyle w:val="ListBullet"/>
        <w:keepLines w:val="1"/>
        <w:keepNext w:val="1"/>
        <w:widowControl w:val="1"/>
      </w:pPr>
      <w:r>
        <w:t xml:space="preserve">2 = Cumple razonablemente.  </w:t>
      </w:r>
    </w:p>
    <w:p>
      <w:pPr>
        <w:pStyle w:val="ListBullet"/>
        <w:keepLines w:val="1"/>
        <w:widowControl w:val="1"/>
      </w:pPr>
      <w:r>
        <w:t>3 = Cumple de forma sólida.</w:t>
      </w:r>
    </w:p>
    <w:p>
      <w:r>
        <w:t>Las valoraciones son orientativas y deben revisarse en ejercicios posteriores según la experiencia acumulada.</w:t>
      </w:r>
    </w:p>
    <w:p>
      <w:pPr>
        <w:pStyle w:val="Heading2"/>
        <w:keepNext/>
        <w:keepLines/>
      </w:pPr>
      <w:r>
        <w:rPr>
          <w:color w:val="0066CC"/>
        </w:rPr>
        <w:t>2. Leyenda de criterios</w:t>
      </w:r>
    </w:p>
    <w:p>
      <w:pPr>
        <w:pStyle w:val="ListBullet"/>
        <w:keepLines w:val="1"/>
        <w:keepNext w:val="1"/>
        <w:widowControl w:val="1"/>
      </w:pPr>
      <w:r>
        <w:t xml:space="preserve">PRED: Predictivo.  </w:t>
      </w:r>
    </w:p>
    <w:p>
      <w:pPr>
        <w:pStyle w:val="ListBullet"/>
        <w:keepLines w:val="1"/>
        <w:keepNext w:val="1"/>
        <w:widowControl w:val="1"/>
      </w:pPr>
      <w:r>
        <w:t xml:space="preserve">REL: Relevante.  </w:t>
      </w:r>
    </w:p>
    <w:p>
      <w:pPr>
        <w:pStyle w:val="ListBullet"/>
        <w:keepLines w:val="1"/>
        <w:keepNext w:val="1"/>
        <w:widowControl w:val="1"/>
      </w:pPr>
      <w:r>
        <w:t xml:space="preserve">ACC: Accionable.  </w:t>
      </w:r>
    </w:p>
    <w:p>
      <w:pPr>
        <w:pStyle w:val="ListBullet"/>
        <w:keepLines w:val="1"/>
        <w:keepNext w:val="1"/>
        <w:widowControl w:val="1"/>
      </w:pPr>
      <w:r>
        <w:t xml:space="preserve">GEN: Genuino.  </w:t>
      </w:r>
    </w:p>
    <w:p>
      <w:pPr>
        <w:pStyle w:val="ListBullet"/>
        <w:keepLines w:val="1"/>
        <w:keepNext w:val="1"/>
        <w:widowControl w:val="1"/>
      </w:pPr>
      <w:r>
        <w:t xml:space="preserve">SIG: Significativo.  </w:t>
      </w:r>
    </w:p>
    <w:p>
      <w:pPr>
        <w:pStyle w:val="ListBullet"/>
        <w:keepLines w:val="1"/>
        <w:keepNext w:val="1"/>
        <w:widowControl w:val="1"/>
      </w:pPr>
      <w:r>
        <w:t xml:space="preserve">PRE: Preciso.  </w:t>
      </w:r>
    </w:p>
    <w:p>
      <w:pPr>
        <w:pStyle w:val="ListBullet"/>
        <w:keepLines w:val="1"/>
        <w:keepNext w:val="1"/>
        <w:widowControl w:val="1"/>
      </w:pPr>
      <w:r>
        <w:t xml:space="preserve">OPOR: Oportuno.  </w:t>
      </w:r>
    </w:p>
    <w:p>
      <w:pPr>
        <w:pStyle w:val="ListBullet"/>
        <w:keepLines w:val="1"/>
        <w:keepNext w:val="1"/>
        <w:widowControl w:val="1"/>
      </w:pPr>
      <w:r>
        <w:t xml:space="preserve">IND: Independiente.  </w:t>
      </w:r>
    </w:p>
    <w:p>
      <w:pPr>
        <w:pStyle w:val="ListBullet"/>
        <w:keepLines w:val="1"/>
        <w:widowControl w:val="1"/>
      </w:pPr>
      <w:r>
        <w:t>REN: Rentable.</w:t>
      </w:r>
    </w:p>
    <w:p>
      <w:pPr>
        <w:pStyle w:val="Heading2"/>
        <w:keepNext/>
        <w:keepLines/>
      </w:pPr>
      <w:r>
        <w:rPr>
          <w:color w:val="0066CC"/>
        </w:rPr>
        <w:t>3. Tabla de evaluación PRAGMATIC</w:t>
      </w:r>
    </w:p>
    <w:p>
      <w:pPr>
        <w:pStyle w:val="Heading3"/>
        <w:keepNext/>
        <w:keepLines/>
      </w:pPr>
      <w:r>
        <w:t>3.1. Gobernanza</w:t>
      </w:r>
    </w:p>
    <w:p>
      <w:r>
        <w:rPr>
          <w:b/>
        </w:rPr>
        <w:t>Indicador GOB‑1.1.a</w:t>
      </w:r>
      <w:r>
        <w:t xml:space="preserve"> – % de organizaciones críticas con estrategia de ciberseguridad formalmente aprobada en los últimos 3 años.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GOB-1.1.a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Alta relevancia política y normativa.</w:t>
            </w:r>
          </w:p>
        </w:tc>
      </w:tr>
    </w:tbl>
    <w:p/>
    <w:p>
      <w:r>
        <w:rPr>
          <w:b/>
        </w:rPr>
        <w:t>Indicador GOB‑1.2.a</w:t>
      </w:r>
      <w:r>
        <w:t xml:space="preserve"> – % de organizaciones con CISO con acceso regular al consejo/comités.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GOB-1.2.a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Fuerte conexión con buenas prácticas NIS2.[web:9]</w:t>
            </w:r>
          </w:p>
        </w:tc>
      </w:tr>
    </w:tbl>
    <w:p/>
    <w:p>
      <w:r>
        <w:rPr>
          <w:b/>
        </w:rPr>
        <w:t>Indicador GOB‑1.3.a</w:t>
      </w:r>
      <w:r>
        <w:t xml:space="preserve"> – % de organizaciones que reportan ciberseguridad al máximo órgano de gobierno al menos semestralmente.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GOB-1.3.a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Buena proxy de integración GRC.</w:t>
            </w:r>
          </w:p>
        </w:tc>
      </w:tr>
    </w:tbl>
    <w:p/>
    <w:p>
      <w:pPr>
        <w:pStyle w:val="Heading3"/>
        <w:keepNext/>
        <w:keepLines/>
      </w:pPr>
      <w:r>
        <w:t>3.2. Riesgo</w:t>
      </w:r>
    </w:p>
    <w:p>
      <w:r>
        <w:rPr>
          <w:b/>
        </w:rPr>
        <w:t>Indicador RIESGO‑1.1.a</w:t>
      </w:r>
      <w:r>
        <w:t xml:space="preserve"> – % de organizaciones que han mapeado servicios críticos a activos tecnológicos.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RIESGO-1.1.a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Clave para NIS2 y ENS.[web:9][web:5]</w:t>
            </w:r>
          </w:p>
        </w:tc>
      </w:tr>
    </w:tbl>
    <w:p/>
    <w:p>
      <w:r>
        <w:rPr>
          <w:b/>
        </w:rPr>
        <w:t>Indicador RIESGO‑1.2.a</w:t>
      </w:r>
      <w:r>
        <w:t xml:space="preserve"> – Nº de sectores en “zona de riesgo” (criticidad alta, madurez baja).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RIESGO-1.2.a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Muy útil para priorizar políticas a nivel país.[web:9][web:12]</w:t>
            </w:r>
          </w:p>
        </w:tc>
      </w:tr>
    </w:tbl>
    <w:p/>
    <w:p>
      <w:r>
        <w:rPr>
          <w:b/>
        </w:rPr>
        <w:t>Indicador RIESGO‑1.3.a</w:t>
      </w:r>
      <w:r>
        <w:t xml:space="preserve"> – % de organizaciones que realizan análisis de riesgos al menos anualmente.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RIESGO-1.3.a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Evalúa disciplina básica de gestión de riesgos.</w:t>
            </w:r>
          </w:p>
        </w:tc>
      </w:tr>
    </w:tbl>
    <w:p/>
    <w:p>
      <w:pPr>
        <w:pStyle w:val="Heading3"/>
        <w:keepNext/>
        <w:keepLines/>
      </w:pPr>
      <w:r>
        <w:t>3.3. Cumplimiento</w:t>
      </w:r>
    </w:p>
    <w:p>
      <w:r>
        <w:rPr>
          <w:b/>
        </w:rPr>
        <w:t>Indicador CUMP‑1.1.a</w:t>
      </w:r>
      <w:r>
        <w:t xml:space="preserve"> – % de organizaciones con nivel de cumplimiento “alto” o “sistemático” con marcos aplicables (NIS2, ENS, ISO, DORA).[web:9][web:5][web:12]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CUMP-1.1.a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Vulnerable a sesgo de autopercepción.</w:t>
            </w:r>
          </w:p>
        </w:tc>
      </w:tr>
    </w:tbl>
    <w:p/>
    <w:p>
      <w:r>
        <w:rPr>
          <w:b/>
        </w:rPr>
        <w:t>Indicador CUMP‑1.2.a</w:t>
      </w:r>
      <w:r>
        <w:t xml:space="preserve"> – % de organizaciones con auditorías de ciberseguridad en los últimos 24 meses.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CUMP-1.2.a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Buen indicador objetivo de disciplina de cumplimiento.</w:t>
            </w:r>
          </w:p>
        </w:tc>
      </w:tr>
    </w:tbl>
    <w:p/>
    <w:p>
      <w:r>
        <w:rPr>
          <w:b/>
        </w:rPr>
        <w:t>Indicador CUMP‑1.3.a</w:t>
      </w:r>
      <w:r>
        <w:t xml:space="preserve"> – % de organizaciones con inventario de controles mapeado a requisitos normativos.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CUMP-1.3.a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Favorece automatización GRC.</w:t>
            </w:r>
          </w:p>
        </w:tc>
      </w:tr>
    </w:tbl>
    <w:p/>
    <w:p>
      <w:pPr>
        <w:pStyle w:val="Heading3"/>
        <w:keepNext/>
        <w:keepLines/>
      </w:pPr>
      <w:r>
        <w:t>3.4. Capacidades y resiliencia</w:t>
      </w:r>
    </w:p>
    <w:p>
      <w:r>
        <w:rPr>
          <w:b/>
        </w:rPr>
        <w:t>Indicador CAP‑1.1.a</w:t>
      </w:r>
      <w:r>
        <w:t xml:space="preserve"> – % de organizaciones con MFA extendido a todos los usuarios internos.[web:1][web:9]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CAP-1.1.a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Alto impacto en control de acceso.</w:t>
            </w:r>
          </w:p>
        </w:tc>
      </w:tr>
    </w:tbl>
    <w:p/>
    <w:p>
      <w:r>
        <w:rPr>
          <w:b/>
        </w:rPr>
        <w:t>Indicador CAP‑1.2.a</w:t>
      </w:r>
      <w:r>
        <w:t xml:space="preserve"> – % de organizaciones que utilizan ZTNA/SASE como modelo predominante de acceso remoto.[web:1]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CAP-1.2.a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Señala adopción de Zero Trust en la práctica.</w:t>
            </w:r>
          </w:p>
        </w:tc>
      </w:tr>
    </w:tbl>
    <w:p/>
    <w:p>
      <w:r>
        <w:rPr>
          <w:b/>
        </w:rPr>
        <w:t>Indicador CAP‑1.3.a</w:t>
      </w:r>
      <w:r>
        <w:t xml:space="preserve"> – % de organizaciones con SOC 24×7 con EDR/XDR.[web:9]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CAP-1.3.a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Costosa de implantar, pero crítica para respuesta.</w:t>
            </w:r>
          </w:p>
        </w:tc>
      </w:tr>
    </w:tbl>
    <w:p/>
    <w:p>
      <w:r>
        <w:rPr>
          <w:b/>
        </w:rPr>
        <w:t>Indicador RES‑1.1.a</w:t>
      </w:r>
      <w:r>
        <w:t xml:space="preserve"> – % de organizaciones con BCP/DRP que incluye ciberataques y se prueba periódicamente.[web:3][web:5]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RES-1.1.a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Conecta ciberseguridad con resiliencia de negocio.</w:t>
            </w:r>
          </w:p>
        </w:tc>
      </w:tr>
    </w:tbl>
    <w:p/>
    <w:p>
      <w:pPr>
        <w:pStyle w:val="Heading3"/>
        <w:keepNext/>
        <w:keepLines/>
      </w:pPr>
      <w:r>
        <w:t>3.5. Inversión y ROI</w:t>
      </w:r>
    </w:p>
    <w:p>
      <w:r>
        <w:rPr>
          <w:b/>
        </w:rPr>
        <w:t>Indicador INV‑1.1</w:t>
      </w:r>
      <w:r>
        <w:t xml:space="preserve"> – % de presupuesto TIC dedicado a ciberseguridad.[web:1][web:22]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INV-1.1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Útil pero requiere contexto sectorial.</w:t>
            </w:r>
          </w:p>
        </w:tc>
      </w:tr>
    </w:tbl>
    <w:p/>
    <w:p>
      <w:r>
        <w:rPr>
          <w:b/>
        </w:rPr>
        <w:t>Indicador INV‑1.2</w:t>
      </w:r>
      <w:r>
        <w:t xml:space="preserve"> – Evolución del presupuesto de ciberseguridad en 3 años.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INV-1.2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Complementa INV-1.1 para tendencias.</w:t>
            </w:r>
          </w:p>
        </w:tc>
      </w:tr>
    </w:tbl>
    <w:p/>
    <w:p>
      <w:r>
        <w:rPr>
          <w:b/>
        </w:rPr>
        <w:t>Indicador INV‑1.3</w:t>
      </w:r>
      <w:r>
        <w:t xml:space="preserve"> – Existencia de modelos de ROI (reducción de pérdida esperada).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rPr>
          <w:cantSplit w:val="1"/>
        </w:trPr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Métrica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REL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ACC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SIG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OPOR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REN</w:t>
            </w:r>
          </w:p>
        </w:tc>
        <w:tc>
          <w:tcPr>
            <w:tcW w:type="dxa" w:w="851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Nota</w:t>
            </w:r>
          </w:p>
        </w:tc>
      </w:tr>
      <w:tr>
        <w:trPr>
          <w:cantSplit w:val="1"/>
        </w:trPr>
        <w:tc>
          <w:tcPr>
            <w:tcW w:type="dxa" w:w="851"/>
          </w:tcPr>
          <w:p>
            <w:pPr>
              <w:keepLines w:val="1"/>
            </w:pPr>
            <w:r>
              <w:t>INV-1.3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1</w:t>
            </w:r>
          </w:p>
        </w:tc>
        <w:tc>
          <w:tcPr>
            <w:tcW w:type="dxa" w:w="851"/>
          </w:tcPr>
          <w:p>
            <w:pPr>
              <w:keepLines w:val="1"/>
            </w:pPr>
            <w:r>
              <w:t>Difícil de medir bien, pero aspiracional.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4. Uso de la matriz</w:t>
      </w:r>
    </w:p>
    <w:p>
      <w:pPr>
        <w:pStyle w:val="ListBullet"/>
        <w:keepLines w:val="1"/>
        <w:keepNext w:val="1"/>
        <w:widowControl w:val="1"/>
      </w:pPr>
      <w:r>
        <w:t xml:space="preserve">Para cada nueva métrica propuesta, cumplimentar una fila similar.  </w:t>
      </w:r>
    </w:p>
    <w:p>
      <w:pPr>
        <w:pStyle w:val="ListBullet"/>
        <w:keepLines w:val="1"/>
        <w:keepNext w:val="1"/>
        <w:widowControl w:val="1"/>
      </w:pPr>
      <w:r>
        <w:t xml:space="preserve">Revisar periódicamente las puntuaciones PRAGMATIC según experiencia.  </w:t>
      </w:r>
    </w:p>
    <w:p>
      <w:pPr>
        <w:pStyle w:val="ListBullet"/>
        <w:keepLines w:val="1"/>
        <w:widowControl w:val="1"/>
      </w:pPr>
      <w:r>
        <w:t>Detectar métricas con baja puntuación global (p. ej. &lt; 18/27) para reformulación o retiro.</w:t>
      </w:r>
    </w:p>
    <w:p>
      <w:r>
        <w:t>Con ello se evita que el sistema nacional de indicadores se convierta en una colección de números decorativos sin valor operativo.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