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GRC de Ciberseguridad en España</w:t>
      </w:r>
    </w:p>
    <w:p>
      <w:pPr>
        <w:pStyle w:val="Heading2"/>
        <w:keepNext/>
        <w:keepLines/>
      </w:pPr>
      <w:r>
        <w:rPr>
          <w:color w:val="0066CC"/>
        </w:rPr>
        <w:t>1. Objetivo de la encuesta</w:t>
      </w:r>
    </w:p>
    <w:p>
      <w:r>
        <w:t>La encuesta pretende medir el nivel de madurez en gobernanza, gestión de riesgos y cumplimiento (GRC) de la ciberseguridad en organizaciones que operan en España, con capacidad de comparación nacional e internacional. Se inspira en marcos de referencia como NIS2/NIS360 (ENISA), NIST CSF 2.0 y RMF, así como en estrategias nacionales y europeas de ciberseguridad.[web:9][web:12][web:13]</w:t>
      </w:r>
    </w:p>
    <w:p>
      <w:r>
        <w:t>El propósito último es disponer de un Índice Global de Madurez (IGM) y de insumos para estimar el retorno de la inversión (ROI) en ciberseguridad a nivel organizativo y sectorial.[web:1][web:3]</w:t>
      </w:r>
    </w:p>
    <w:p>
      <w:pPr>
        <w:pStyle w:val="Heading2"/>
        <w:keepNext/>
        <w:keepLines/>
      </w:pPr>
      <w:r>
        <w:rPr>
          <w:color w:val="0066CC"/>
        </w:rPr>
        <w:t>2. Población objetivo y unidad de análisis</w:t>
      </w:r>
    </w:p>
    <w:p>
      <w:pPr>
        <w:pStyle w:val="ListBullet"/>
        <w:keepLines w:val="1"/>
        <w:keepNext w:val="1"/>
        <w:widowControl w:val="1"/>
      </w:pPr>
      <w:r>
        <w:t xml:space="preserve">Población objetivo: organizaciones públicas y privadas con operación relevante en España, especialmente operadores esenciales, entidades importantes y sectores regulados.  </w:t>
      </w:r>
    </w:p>
    <w:p>
      <w:pPr>
        <w:pStyle w:val="ListBullet"/>
        <w:keepLines w:val="1"/>
        <w:widowControl w:val="1"/>
      </w:pPr>
      <w:r>
        <w:t>Unidad de análisis: cada organización responde una única encuesta, a ser cumplimentada por el CISO, CIO, responsable de riesgos o equivalente, con apoyo de otras áreas cuando sea necesario.</w:t>
      </w:r>
    </w:p>
    <w:p>
      <w:pPr>
        <w:pStyle w:val="Heading2"/>
        <w:keepNext/>
        <w:keepLines/>
      </w:pPr>
      <w:r>
        <w:rPr>
          <w:color w:val="0066CC"/>
        </w:rPr>
        <w:t>3. Estructura del cuestionario</w:t>
      </w:r>
    </w:p>
    <w:p>
      <w:r>
        <w:t>La encuesta se organiza en ocho bloques:</w:t>
      </w:r>
    </w:p>
    <w:p>
      <w:pPr>
        <w:pStyle w:val="ListNumber"/>
        <w:keepLines w:val="1"/>
        <w:keepNext w:val="1"/>
        <w:widowControl w:val="1"/>
      </w:pPr>
      <w:r>
        <w:t xml:space="preserve">Información general de la organización.  </w:t>
      </w:r>
    </w:p>
    <w:p>
      <w:pPr>
        <w:pStyle w:val="ListNumber"/>
        <w:keepLines w:val="1"/>
        <w:keepNext w:val="1"/>
        <w:widowControl w:val="1"/>
      </w:pPr>
      <w:r>
        <w:t xml:space="preserve">Gobernanza de la ciberseguridad.  </w:t>
      </w:r>
    </w:p>
    <w:p>
      <w:pPr>
        <w:pStyle w:val="ListNumber"/>
        <w:keepLines w:val="1"/>
        <w:keepNext w:val="1"/>
        <w:widowControl w:val="1"/>
      </w:pPr>
      <w:r>
        <w:t xml:space="preserve">Gestión del riesgo de ciberseguridad.  </w:t>
      </w:r>
    </w:p>
    <w:p>
      <w:pPr>
        <w:pStyle w:val="ListNumber"/>
        <w:keepLines w:val="1"/>
        <w:keepNext w:val="1"/>
        <w:widowControl w:val="1"/>
      </w:pPr>
      <w:r>
        <w:t xml:space="preserve">Cumplimiento normativo y regulatorio.  </w:t>
      </w:r>
    </w:p>
    <w:p>
      <w:pPr>
        <w:pStyle w:val="ListNumber"/>
        <w:keepLines w:val="1"/>
        <w:keepNext w:val="1"/>
        <w:widowControl w:val="1"/>
      </w:pPr>
      <w:r>
        <w:t xml:space="preserve">Capacidades técnicas y Zero Trust.  </w:t>
      </w:r>
    </w:p>
    <w:p>
      <w:pPr>
        <w:pStyle w:val="ListNumber"/>
        <w:keepLines w:val="1"/>
        <w:keepNext w:val="1"/>
        <w:widowControl w:val="1"/>
      </w:pPr>
      <w:r>
        <w:t xml:space="preserve">Resiliencia, continuidad y respuesta a incidentes.  </w:t>
      </w:r>
    </w:p>
    <w:p>
      <w:pPr>
        <w:pStyle w:val="ListNumber"/>
        <w:keepLines w:val="1"/>
        <w:keepNext w:val="1"/>
        <w:widowControl w:val="1"/>
      </w:pPr>
      <w:r>
        <w:t xml:space="preserve">Inversión, IGM y ROI.  </w:t>
      </w:r>
    </w:p>
    <w:p>
      <w:pPr>
        <w:pStyle w:val="ListNumber"/>
        <w:keepLines w:val="1"/>
        <w:widowControl w:val="1"/>
      </w:pPr>
      <w:r>
        <w:t>Cultura, formación y terceros, con preguntas abiertas.</w:t>
      </w:r>
    </w:p>
    <w:p>
      <w:r>
        <w:t>Cada bloque contribuye a una dimensión de madurez, siguiendo una filosofía cercana a los modelos utilizados por ENISA (NIS360) y por índices industriales como Cisco Readiness Index.[web:9][web:12][web:1]</w:t>
      </w:r>
    </w:p>
    <w:p>
      <w:pPr>
        <w:pStyle w:val="Heading2"/>
        <w:keepNext/>
        <w:keepLines/>
      </w:pPr>
      <w:r>
        <w:rPr>
          <w:color w:val="0066CC"/>
        </w:rPr>
        <w:t>4. Escalas de respuesta y codificación</w:t>
      </w:r>
    </w:p>
    <w:p>
      <w:pPr>
        <w:pStyle w:val="Heading3"/>
        <w:keepNext/>
        <w:keepLines/>
      </w:pPr>
      <w:r>
        <w:t>4.1. Escalas ordinales de madurez</w:t>
      </w:r>
    </w:p>
    <w:p>
      <w:r>
        <w:t>La mayoría de las preguntas cerradas utilizan escalas ordinales que representan niveles crecientes de madurez. Por ejemplo:</w:t>
      </w:r>
    </w:p>
    <w:p>
      <w:pPr>
        <w:pStyle w:val="ListBullet"/>
        <w:keepLines w:val="1"/>
        <w:keepNext w:val="1"/>
        <w:widowControl w:val="1"/>
      </w:pPr>
      <w:r>
        <w:t xml:space="preserve">0 – Inexistente.  </w:t>
      </w:r>
    </w:p>
    <w:p>
      <w:pPr>
        <w:pStyle w:val="ListBullet"/>
        <w:keepLines w:val="1"/>
        <w:keepNext w:val="1"/>
        <w:widowControl w:val="1"/>
      </w:pPr>
      <w:r>
        <w:t xml:space="preserve">1 – Ad hoc / reactivo.  </w:t>
      </w:r>
    </w:p>
    <w:p>
      <w:pPr>
        <w:pStyle w:val="ListBullet"/>
        <w:keepLines w:val="1"/>
        <w:keepNext w:val="1"/>
        <w:widowControl w:val="1"/>
      </w:pPr>
      <w:r>
        <w:t xml:space="preserve">2 – Definido.  </w:t>
      </w:r>
    </w:p>
    <w:p>
      <w:pPr>
        <w:pStyle w:val="ListBullet"/>
        <w:keepLines w:val="1"/>
        <w:keepNext w:val="1"/>
        <w:widowControl w:val="1"/>
      </w:pPr>
      <w:r>
        <w:t xml:space="preserve">3 – Implementado.  </w:t>
      </w:r>
    </w:p>
    <w:p>
      <w:pPr>
        <w:pStyle w:val="ListBullet"/>
        <w:keepLines w:val="1"/>
        <w:keepNext w:val="1"/>
        <w:widowControl w:val="1"/>
      </w:pPr>
      <w:r>
        <w:t xml:space="preserve">4 – Gestionado y medido.  </w:t>
      </w:r>
    </w:p>
    <w:p>
      <w:pPr>
        <w:pStyle w:val="ListBullet"/>
        <w:keepLines w:val="1"/>
        <w:widowControl w:val="1"/>
      </w:pPr>
      <w:r>
        <w:t>5 – Optimizado / integrado.</w:t>
      </w:r>
    </w:p>
    <w:p>
      <w:r>
        <w:t>La codificación exacta se definirá en la plantilla de Excel de cálculo del IGM. La recomendación es asignar un valor numérico a cada opción de respuesta siguiendo la lógica de mayor madurez, evitando escalas “tramposas” que degraden la honradez del encuestado.</w:t>
      </w:r>
    </w:p>
    <w:p>
      <w:pPr>
        <w:pStyle w:val="Heading3"/>
        <w:keepNext/>
        <w:keepLines/>
      </w:pPr>
      <w:r>
        <w:t>4.2. Respuestas múltiples</w:t>
      </w:r>
    </w:p>
    <w:p>
      <w:r>
        <w:t>En preguntas donde se permite seleccionar varias opciones (p. ej. marcos normativos aplicables), cada opción se codifica como variable binaria (0/1). Posteriormente, podrán derivarse índices compuestos, como “densidad normativa” o “nivel de exigencia regulatoria”.</w:t>
      </w:r>
    </w:p>
    <w:p>
      <w:pPr>
        <w:pStyle w:val="Heading3"/>
        <w:keepNext/>
        <w:keepLines/>
      </w:pPr>
      <w:r>
        <w:t>4.3. Respuestas abiertas</w:t>
      </w:r>
    </w:p>
    <w:p>
      <w:r>
        <w:t>Las respuestas abiertas no se codificarán inicialmente, pero se recomienda aplicar técnicas de análisis cualitativo y, en la medida de lo posible, categorización posterior para extraer patrones.</w:t>
      </w:r>
    </w:p>
    <w:p>
      <w:pPr>
        <w:pStyle w:val="Heading2"/>
        <w:keepNext/>
        <w:keepLines/>
      </w:pPr>
      <w:r>
        <w:rPr>
          <w:color w:val="0066CC"/>
        </w:rPr>
        <w:t>5. Cálculo del Índice Global de Madurez (IGM)</w:t>
      </w:r>
    </w:p>
    <w:p>
      <w:pPr>
        <w:pStyle w:val="Heading3"/>
        <w:keepNext/>
        <w:keepLines/>
      </w:pPr>
      <w:r>
        <w:t>5.1. Dimensiones propuestas</w:t>
      </w:r>
    </w:p>
    <w:p>
      <w:r>
        <w:t>Se propone que el IGM agregue, al menos, las siguientes dimensiones:</w:t>
      </w:r>
    </w:p>
    <w:p>
      <w:pPr>
        <w:pStyle w:val="ListBullet"/>
        <w:keepLines w:val="1"/>
        <w:keepNext w:val="1"/>
        <w:widowControl w:val="1"/>
      </w:pPr>
      <w:r>
        <w:t xml:space="preserve">IG_GOB: Gobernanza (bloque 2).  </w:t>
      </w:r>
    </w:p>
    <w:p>
      <w:pPr>
        <w:pStyle w:val="ListBullet"/>
        <w:keepLines w:val="1"/>
        <w:keepNext w:val="1"/>
        <w:widowControl w:val="1"/>
      </w:pPr>
      <w:r>
        <w:t xml:space="preserve">IG_RIESGO: Gestión de riesgos (bloque 3).  </w:t>
      </w:r>
    </w:p>
    <w:p>
      <w:pPr>
        <w:pStyle w:val="ListBullet"/>
        <w:keepLines w:val="1"/>
        <w:keepNext w:val="1"/>
        <w:widowControl w:val="1"/>
      </w:pPr>
      <w:r>
        <w:t xml:space="preserve">IG_CUMP: Cumplimiento normativo (bloque 4).  </w:t>
      </w:r>
    </w:p>
    <w:p>
      <w:pPr>
        <w:pStyle w:val="ListBullet"/>
        <w:keepLines w:val="1"/>
        <w:keepNext w:val="1"/>
        <w:widowControl w:val="1"/>
      </w:pPr>
      <w:r>
        <w:t xml:space="preserve">IG_ZT: Capacidades técnicas y Zero Trust (bloque 5).  </w:t>
      </w:r>
    </w:p>
    <w:p>
      <w:pPr>
        <w:pStyle w:val="ListBullet"/>
        <w:keepLines w:val="1"/>
        <w:keepNext w:val="1"/>
        <w:widowControl w:val="1"/>
      </w:pPr>
      <w:r>
        <w:t xml:space="preserve">IG_RES: Resiliencia y continuidad (bloque 5–6).  </w:t>
      </w:r>
    </w:p>
    <w:p>
      <w:pPr>
        <w:pStyle w:val="ListBullet"/>
        <w:keepLines w:val="1"/>
        <w:widowControl w:val="1"/>
      </w:pPr>
      <w:r>
        <w:t>IG_CULT: Cultura, formación y terceros (bloque 7).</w:t>
      </w:r>
    </w:p>
    <w:p>
      <w:r>
        <w:t>Cada subíndice se calcula como la media ponderada de las preguntas asociadas, con pesos definidos por relevancia normativa y de riesgo.</w:t>
      </w:r>
    </w:p>
    <w:p>
      <w:pPr>
        <w:pStyle w:val="Heading3"/>
        <w:keepNext/>
        <w:keepLines/>
      </w:pPr>
      <w:r>
        <w:t>5.2. Ponderación sugerida</w:t>
      </w:r>
    </w:p>
    <w:p>
      <w:r>
        <w:t>A modo de ejemplo, se propone:</w:t>
      </w:r>
    </w:p>
    <w:p>
      <w:pPr>
        <w:pStyle w:val="ListBullet"/>
        <w:keepLines w:val="1"/>
        <w:keepNext w:val="1"/>
        <w:widowControl w:val="1"/>
      </w:pPr>
      <w:r>
        <w:t xml:space="preserve">IG_GOB: 20 %.  </w:t>
      </w:r>
    </w:p>
    <w:p>
      <w:pPr>
        <w:pStyle w:val="ListBullet"/>
        <w:keepLines w:val="1"/>
        <w:keepNext w:val="1"/>
        <w:widowControl w:val="1"/>
      </w:pPr>
      <w:r>
        <w:t xml:space="preserve">IG_RIESGO: 20 %.  </w:t>
      </w:r>
    </w:p>
    <w:p>
      <w:pPr>
        <w:pStyle w:val="ListBullet"/>
        <w:keepLines w:val="1"/>
        <w:keepNext w:val="1"/>
        <w:widowControl w:val="1"/>
      </w:pPr>
      <w:r>
        <w:t xml:space="preserve">IG_CUMP: 20 %.  </w:t>
      </w:r>
    </w:p>
    <w:p>
      <w:pPr>
        <w:pStyle w:val="ListBullet"/>
        <w:keepLines w:val="1"/>
        <w:keepNext w:val="1"/>
        <w:widowControl w:val="1"/>
      </w:pPr>
      <w:r>
        <w:t xml:space="preserve">IG_ZT: 20 %.  </w:t>
      </w:r>
    </w:p>
    <w:p>
      <w:pPr>
        <w:pStyle w:val="ListBullet"/>
        <w:keepLines w:val="1"/>
        <w:keepNext w:val="1"/>
        <w:widowControl w:val="1"/>
      </w:pPr>
      <w:r>
        <w:t xml:space="preserve">IG_RES: 10 %.  </w:t>
      </w:r>
    </w:p>
    <w:p>
      <w:pPr>
        <w:pStyle w:val="ListBullet"/>
        <w:keepLines w:val="1"/>
        <w:widowControl w:val="1"/>
      </w:pPr>
      <w:r>
        <w:t>IG_CULT: 10 %.</w:t>
      </w:r>
    </w:p>
    <w:p>
      <w:r>
        <w:t>Estas ponderaciones pueden ajustarse según el sector o la prioridad estratégica (por ejemplo, mayor peso de resiliencia en infraestructuras críticas).</w:t>
      </w:r>
    </w:p>
    <w:p>
      <w:pPr>
        <w:pStyle w:val="Heading3"/>
        <w:keepNext/>
        <w:keepLines/>
      </w:pPr>
      <w:r>
        <w:t>5.3. Normalización</w:t>
      </w:r>
    </w:p>
    <w:p>
      <w:r>
        <w:t>Cada subíndice se normaliza a una escala 0–100, donde 0 representa ausencia total de capacidades y 100 un nivel de excelencia equiparable a buenas prácticas internacionales. El IGM global será la suma ponderada de los subíndices normalizados.</w:t>
      </w:r>
    </w:p>
    <w:p>
      <w:pPr>
        <w:pStyle w:val="Heading2"/>
        <w:keepNext/>
        <w:keepLines/>
      </w:pPr>
      <w:r>
        <w:rPr>
          <w:color w:val="0066CC"/>
        </w:rPr>
        <w:t>6. Enfoque para el ROI en ciberseguridad</w:t>
      </w:r>
    </w:p>
    <w:p>
      <w:r>
        <w:t>El ROI en ciberseguridad no se calculará a partir de una fórmula única, sino de un conjunto de variables:</w:t>
      </w:r>
    </w:p>
    <w:p>
      <w:pPr>
        <w:pStyle w:val="ListBullet"/>
        <w:keepLines w:val="1"/>
        <w:keepNext w:val="1"/>
        <w:widowControl w:val="1"/>
      </w:pPr>
      <w:r>
        <w:t xml:space="preserve">% de presupuesto TI dedicado a ciberseguridad.  </w:t>
      </w:r>
    </w:p>
    <w:p>
      <w:pPr>
        <w:pStyle w:val="ListBullet"/>
        <w:keepLines w:val="1"/>
        <w:keepNext w:val="1"/>
        <w:widowControl w:val="1"/>
      </w:pPr>
      <w:r>
        <w:t xml:space="preserve">Evolución de ese presupuesto en 3 años.  </w:t>
      </w:r>
    </w:p>
    <w:p>
      <w:pPr>
        <w:pStyle w:val="ListBullet"/>
        <w:keepLines w:val="1"/>
        <w:keepNext w:val="1"/>
        <w:widowControl w:val="1"/>
      </w:pPr>
      <w:r>
        <w:t xml:space="preserve">Nivel de madurez (IGM).  </w:t>
      </w:r>
    </w:p>
    <w:p>
      <w:pPr>
        <w:pStyle w:val="ListBullet"/>
        <w:keepLines w:val="1"/>
        <w:keepNext w:val="1"/>
        <w:widowControl w:val="1"/>
      </w:pPr>
      <w:r>
        <w:t xml:space="preserve">Frecuencia y severidad de incidentes (si se recogen datos adicionales en extensiones de la encuesta).  </w:t>
      </w:r>
    </w:p>
    <w:p>
      <w:pPr>
        <w:pStyle w:val="ListBullet"/>
        <w:keepLines w:val="1"/>
        <w:widowControl w:val="1"/>
      </w:pPr>
      <w:r>
        <w:t>Reducción estimada de pérdida esperada (cuando se disponga de modelos de riesgo cuantitativos).</w:t>
      </w:r>
    </w:p>
    <w:p>
      <w:r>
        <w:t>La plantilla Excel propondrá un modelo básico de ROI basado en la reducción de la pérdida anual esperada (ALE) atribuible a la mejora de madurez, con una generosa dosis de prudencia epistemológica.</w:t>
      </w:r>
    </w:p>
    <w:p>
      <w:pPr>
        <w:pStyle w:val="Heading2"/>
        <w:keepNext/>
        <w:keepLines/>
      </w:pPr>
      <w:r>
        <w:rPr>
          <w:color w:val="0066CC"/>
        </w:rPr>
        <w:t>7. Calidad de datos y sesgos</w:t>
      </w:r>
    </w:p>
    <w:p>
      <w:pPr>
        <w:pStyle w:val="Heading3"/>
        <w:keepNext/>
        <w:keepLines/>
      </w:pPr>
      <w:r>
        <w:t>7.1. Sesgo de autocomplacencia</w:t>
      </w:r>
    </w:p>
    <w:p>
      <w:r>
        <w:t>Es razonable esperar que algunos encuestados sobreestimen su madurez. Se recomienda:</w:t>
      </w:r>
    </w:p>
    <w:p>
      <w:pPr>
        <w:pStyle w:val="ListBullet"/>
        <w:keepLines w:val="1"/>
        <w:keepNext w:val="1"/>
        <w:widowControl w:val="1"/>
      </w:pPr>
      <w:r>
        <w:t xml:space="preserve">Enviar la encuesta con carta de presentación que subraye la importancia de la honestidad.  </w:t>
      </w:r>
    </w:p>
    <w:p>
      <w:pPr>
        <w:pStyle w:val="ListBullet"/>
        <w:keepLines w:val="1"/>
        <w:keepNext w:val="1"/>
        <w:widowControl w:val="1"/>
      </w:pPr>
      <w:r>
        <w:t xml:space="preserve">Garantizar confidencialidad y anonimato en los resultados agregados.  </w:t>
      </w:r>
    </w:p>
    <w:p>
      <w:pPr>
        <w:pStyle w:val="ListBullet"/>
        <w:keepLines w:val="1"/>
        <w:widowControl w:val="1"/>
      </w:pPr>
      <w:r>
        <w:t>Realizar muestras piloto para detectar patrones de respuesta “milagrosamente excelentes”.</w:t>
      </w:r>
    </w:p>
    <w:p>
      <w:pPr>
        <w:pStyle w:val="Heading3"/>
        <w:keepNext/>
        <w:keepLines/>
      </w:pPr>
      <w:r>
        <w:t>7.2. Sesgo de desconocimiento</w:t>
      </w:r>
    </w:p>
    <w:p>
      <w:r>
        <w:t>En organizaciones poco maduras, el encuestado puede no conocer detalles. Se sugiere:</w:t>
      </w:r>
    </w:p>
    <w:p>
      <w:pPr>
        <w:pStyle w:val="ListBullet"/>
        <w:keepLines w:val="1"/>
        <w:keepNext w:val="1"/>
        <w:widowControl w:val="1"/>
      </w:pPr>
      <w:r>
        <w:t xml:space="preserve">Permitir la respuesta “No sabe / No aplica” donde tenga sentido.  </w:t>
      </w:r>
    </w:p>
    <w:p>
      <w:pPr>
        <w:pStyle w:val="ListBullet"/>
        <w:keepLines w:val="1"/>
        <w:widowControl w:val="1"/>
      </w:pPr>
      <w:r>
        <w:t>Acompañar la encuesta con glosario mínimo de términos.</w:t>
      </w:r>
    </w:p>
    <w:p>
      <w:pPr>
        <w:pStyle w:val="Heading2"/>
        <w:keepNext/>
        <w:keepLines/>
      </w:pPr>
      <w:r>
        <w:rPr>
          <w:color w:val="0066CC"/>
        </w:rPr>
        <w:t>8. Implementación práctica</w:t>
      </w:r>
    </w:p>
    <w:p>
      <w:pPr>
        <w:pStyle w:val="Heading3"/>
        <w:keepNext/>
        <w:keepLines/>
      </w:pPr>
      <w:r>
        <w:t>8.1. Formato</w:t>
      </w:r>
    </w:p>
    <w:p>
      <w:r>
        <w:t>La encuesta puede implementarse en:</w:t>
      </w:r>
    </w:p>
    <w:p>
      <w:pPr>
        <w:pStyle w:val="ListBullet"/>
        <w:keepLines w:val="1"/>
        <w:keepNext w:val="1"/>
        <w:widowControl w:val="1"/>
      </w:pPr>
      <w:r>
        <w:t xml:space="preserve">Formularios web (preferible para agregación automática).  </w:t>
      </w:r>
    </w:p>
    <w:p>
      <w:pPr>
        <w:pStyle w:val="ListBullet"/>
        <w:keepLines w:val="1"/>
        <w:keepNext w:val="1"/>
        <w:widowControl w:val="1"/>
      </w:pPr>
      <w:r>
        <w:t xml:space="preserve">Herramientas de encuesta estándar (por ejemplo, plataformas de investigación).  </w:t>
      </w:r>
    </w:p>
    <w:p>
      <w:pPr>
        <w:pStyle w:val="ListBullet"/>
        <w:keepLines w:val="1"/>
        <w:widowControl w:val="1"/>
      </w:pPr>
      <w:r>
        <w:t>Formularios ofimáticos, para casos extremos o nostálgicos.</w:t>
      </w:r>
    </w:p>
    <w:p>
      <w:pPr>
        <w:pStyle w:val="Heading3"/>
        <w:keepNext/>
        <w:keepLines/>
      </w:pPr>
      <w:r>
        <w:t>8.2. Duración y esfuerzo</w:t>
      </w:r>
    </w:p>
    <w:p>
      <w:r>
        <w:t>Se recomienda no exceder 30–40 minutos de duración total. El número de preguntas está diseñado para equilibrar profundidad y fatiga, con la consciencia de que nadie quiere pasar una tarde entera contestando sobre microsegmentación.</w:t>
      </w:r>
    </w:p>
    <w:p>
      <w:pPr>
        <w:pStyle w:val="Heading2"/>
        <w:keepNext/>
        <w:keepLines/>
      </w:pPr>
      <w:r>
        <w:rPr>
          <w:color w:val="0066CC"/>
        </w:rPr>
        <w:t>9. Uso de resultados</w:t>
      </w:r>
    </w:p>
    <w:p>
      <w:r>
        <w:t>Los resultados servirán para:</w:t>
      </w:r>
    </w:p>
    <w:p>
      <w:pPr>
        <w:pStyle w:val="ListBullet"/>
        <w:keepLines w:val="1"/>
        <w:keepNext w:val="1"/>
        <w:widowControl w:val="1"/>
      </w:pPr>
      <w:r>
        <w:t xml:space="preserve">Elaborar informes sectoriales y nacionales de madurez GRC.  </w:t>
      </w:r>
    </w:p>
    <w:p>
      <w:pPr>
        <w:pStyle w:val="ListBullet"/>
        <w:keepLines w:val="1"/>
        <w:keepNext w:val="1"/>
        <w:widowControl w:val="1"/>
      </w:pPr>
      <w:r>
        <w:t xml:space="preserve">Identificar brechas en relación con NIS2, DORA y otros marcos europeos.  </w:t>
      </w:r>
    </w:p>
    <w:p>
      <w:pPr>
        <w:pStyle w:val="ListBullet"/>
        <w:keepLines w:val="1"/>
        <w:keepNext w:val="1"/>
        <w:widowControl w:val="1"/>
      </w:pPr>
      <w:r>
        <w:t xml:space="preserve">Informar estrategias de inversión pública y privada en ciberseguridad.  </w:t>
      </w:r>
    </w:p>
    <w:p>
      <w:pPr>
        <w:pStyle w:val="ListBullet"/>
        <w:keepLines w:val="1"/>
        <w:widowControl w:val="1"/>
      </w:pPr>
      <w:r>
        <w:t>Facilitar un diálogo más adulto entre CISOs y consejos de administración.</w:t>
      </w:r>
    </w:p>
    <w:p>
      <w:r>
        <w:t>La guía puede evolucionar con nuevas versiones de marcos normativos y con las lecciones extraídas de las primeras oleadas de la encuesta. A fin de cuentas, la madurez también se mide por la capacidad de cambiar de opinión con datos en la mano.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