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para Cálculo de IGM y ROI en Ciberseguridad</w:t>
      </w:r>
    </w:p>
    <w:p>
      <w:r>
        <w:t>Este documento describe la estructura recomendada de la hoja de cálculo (Excel o equivalente) para calcular el Índice Global de Madurez (IGM) y estimar el ROI de inversiones en ciberseguridad a partir de las respuestas de la encuesta.</w:t>
      </w:r>
    </w:p>
    <w:p>
      <w:pPr>
        <w:pStyle w:val="Heading2"/>
        <w:keepNext/>
        <w:keepLines/>
      </w:pPr>
      <w:r>
        <w:rPr>
          <w:color w:val="0066CC"/>
        </w:rPr>
        <w:t>1. Estructura general de la hoja</w:t>
      </w:r>
    </w:p>
    <w:p>
      <w:r>
        <w:t>Se recomiendan al menos cuatro hojas:</w:t>
      </w:r>
    </w:p>
    <w:p>
      <w:pPr>
        <w:pStyle w:val="ListNumber"/>
        <w:keepLines w:val="1"/>
        <w:keepNext w:val="1"/>
        <w:widowControl w:val="1"/>
      </w:pPr>
      <w:r>
        <w:t xml:space="preserve">Datos_Encuesta – Respuestas codificadas por organización.  </w:t>
      </w:r>
    </w:p>
    <w:p>
      <w:pPr>
        <w:pStyle w:val="ListNumber"/>
        <w:keepLines w:val="1"/>
        <w:keepNext w:val="1"/>
        <w:widowControl w:val="1"/>
      </w:pPr>
      <w:r>
        <w:t xml:space="preserve">Ponderaciones – Tabla de mapeo pregunta → dimensión → peso.  </w:t>
      </w:r>
    </w:p>
    <w:p>
      <w:pPr>
        <w:pStyle w:val="ListNumber"/>
        <w:keepLines w:val="1"/>
        <w:keepNext w:val="1"/>
        <w:widowControl w:val="1"/>
      </w:pPr>
      <w:r>
        <w:t xml:space="preserve">IGM_Resultados – Cálculo de subíndices e IGM global.  </w:t>
      </w:r>
    </w:p>
    <w:p>
      <w:pPr>
        <w:pStyle w:val="ListNumber"/>
        <w:keepLines w:val="1"/>
        <w:widowControl w:val="1"/>
      </w:pPr>
      <w:r>
        <w:t>ROI – Cálculos de coste, pérdida esperada y ROI.</w:t>
      </w:r>
    </w:p>
    <w:p>
      <w:pPr>
        <w:pStyle w:val="Heading2"/>
        <w:keepNext/>
        <w:keepLines/>
      </w:pPr>
      <w:r>
        <w:rPr>
          <w:color w:val="0066CC"/>
        </w:rPr>
        <w:t>2. Hoja “Datos_Encuesta”</w:t>
      </w:r>
    </w:p>
    <w:p>
      <w:r>
        <w:t>Columnas sugeridas:</w:t>
      </w:r>
    </w:p>
    <w:p>
      <w:pPr>
        <w:pStyle w:val="ListBullet"/>
        <w:keepLines w:val="1"/>
        <w:keepNext w:val="1"/>
        <w:widowControl w:val="1"/>
      </w:pPr>
      <w:r>
        <w:t xml:space="preserve">A: ID_Organización  </w:t>
      </w:r>
    </w:p>
    <w:p>
      <w:pPr>
        <w:pStyle w:val="ListBullet"/>
        <w:keepLines w:val="1"/>
        <w:keepNext w:val="1"/>
        <w:widowControl w:val="1"/>
      </w:pPr>
      <w:r>
        <w:t xml:space="preserve">B: Sector  </w:t>
      </w:r>
    </w:p>
    <w:p>
      <w:pPr>
        <w:pStyle w:val="ListBullet"/>
        <w:keepLines w:val="1"/>
        <w:keepNext w:val="1"/>
        <w:widowControl w:val="1"/>
      </w:pPr>
      <w:r>
        <w:t xml:space="preserve">C: Tamaño  </w:t>
      </w:r>
    </w:p>
    <w:p>
      <w:pPr>
        <w:pStyle w:val="ListBullet"/>
        <w:keepLines w:val="1"/>
        <w:widowControl w:val="1"/>
      </w:pPr>
      <w:r>
        <w:t>D–ZZ: Variables codificadas (P1_1_1, P1_1_2, etc.)</w:t>
      </w:r>
    </w:p>
    <w:p>
      <w:r>
        <w:t>Ejemplo de codificación:</w:t>
      </w:r>
    </w:p>
    <w:p>
      <w:pPr>
        <w:pStyle w:val="ListBullet"/>
        <w:keepLines w:val="1"/>
        <w:keepNext w:val="1"/>
        <w:widowControl w:val="1"/>
      </w:pPr>
      <w:r>
        <w:t xml:space="preserve">P1_1_1: 0–4 según nivel de madurez elegido.  </w:t>
      </w:r>
    </w:p>
    <w:p>
      <w:pPr>
        <w:pStyle w:val="ListBullet"/>
        <w:keepLines w:val="1"/>
        <w:keepNext w:val="1"/>
        <w:widowControl w:val="1"/>
      </w:pPr>
      <w:r>
        <w:t xml:space="preserve">P3_1_1_ENS: 0/1 si ENS aplicable.  </w:t>
      </w:r>
    </w:p>
    <w:p>
      <w:pPr>
        <w:pStyle w:val="ListBullet"/>
        <w:keepLines w:val="1"/>
        <w:widowControl w:val="1"/>
      </w:pPr>
      <w:r>
        <w:t>P4_1_2_MFA_TOTAL: 0–4 según cobertura MFA.</w:t>
      </w:r>
    </w:p>
    <w:p>
      <w:pPr>
        <w:pStyle w:val="Heading2"/>
        <w:keepNext/>
        <w:keepLines/>
      </w:pPr>
      <w:r>
        <w:rPr>
          <w:color w:val="0066CC"/>
        </w:rPr>
        <w:t>3. Hoja “Ponderaciones”</w:t>
      </w:r>
    </w:p>
    <w:p>
      <w:r>
        <w:t>Columnas:</w:t>
      </w:r>
    </w:p>
    <w:p>
      <w:pPr>
        <w:pStyle w:val="ListBullet"/>
        <w:keepLines w:val="1"/>
        <w:keepNext w:val="1"/>
        <w:widowControl w:val="1"/>
      </w:pPr>
      <w:r>
        <w:t xml:space="preserve">Pregunta_ID  </w:t>
      </w:r>
    </w:p>
    <w:p>
      <w:pPr>
        <w:pStyle w:val="ListBullet"/>
        <w:keepLines w:val="1"/>
        <w:keepNext w:val="1"/>
        <w:widowControl w:val="1"/>
      </w:pPr>
      <w:r>
        <w:t xml:space="preserve">Dimensión (IG_GOB, IG_RIESGO, etc.)  </w:t>
      </w:r>
    </w:p>
    <w:p>
      <w:pPr>
        <w:pStyle w:val="ListBullet"/>
        <w:keepLines w:val="1"/>
        <w:keepNext w:val="1"/>
        <w:widowControl w:val="1"/>
      </w:pPr>
      <w:r>
        <w:t xml:space="preserve">Peso_en_dimensión (0–1)  </w:t>
      </w:r>
    </w:p>
    <w:p>
      <w:pPr>
        <w:pStyle w:val="ListBullet"/>
        <w:keepLines w:val="1"/>
        <w:widowControl w:val="1"/>
      </w:pPr>
      <w:r>
        <w:t>Peso_global (para análisis alternativos)</w:t>
      </w:r>
    </w:p>
    <w:p>
      <w:r>
        <w:t>Ejemplo: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 w:val="1"/>
        </w:trPr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Pregunta_ID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type="dxa" w:w="312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Peso_en_dimensión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P1_1_1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IG_GOB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0,15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  <w:keepNext w:val="1"/>
            </w:pPr>
            <w:r>
              <w:t>P1_2_1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IG_GOB</w:t>
            </w:r>
          </w:p>
        </w:tc>
        <w:tc>
          <w:tcPr>
            <w:tcW w:type="dxa" w:w="3120"/>
          </w:tcPr>
          <w:p>
            <w:pPr>
              <w:keepLines w:val="1"/>
              <w:keepNext w:val="1"/>
            </w:pPr>
            <w:r>
              <w:t>0,10</w:t>
            </w:r>
          </w:p>
        </w:tc>
      </w:tr>
      <w:tr>
        <w:trPr>
          <w:cantSplit w:val="1"/>
        </w:trPr>
        <w:tc>
          <w:tcPr>
            <w:tcW w:type="dxa" w:w="3120"/>
          </w:tcPr>
          <w:p>
            <w:pPr>
              <w:keepLines w:val="1"/>
            </w:pPr>
            <w:r>
              <w:t>P2_1_1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IG_RIESGO</w:t>
            </w:r>
          </w:p>
        </w:tc>
        <w:tc>
          <w:tcPr>
            <w:tcW w:type="dxa" w:w="3120"/>
          </w:tcPr>
          <w:p>
            <w:pPr>
              <w:keepLines w:val="1"/>
            </w:pPr>
            <w:r>
              <w:t>0,15</w:t>
            </w:r>
          </w:p>
        </w:tc>
      </w:tr>
    </w:tbl>
    <w:p/>
    <w:p>
      <w:r>
        <w:t>La suma de pesos por dimensión debe ser 1.</w:t>
      </w:r>
    </w:p>
    <w:p>
      <w:pPr>
        <w:pStyle w:val="Heading2"/>
        <w:keepNext/>
        <w:keepLines/>
      </w:pPr>
      <w:r>
        <w:rPr>
          <w:color w:val="0066CC"/>
        </w:rPr>
        <w:t>4. Hoja “IGM_Resultados”</w:t>
      </w:r>
    </w:p>
    <w:p>
      <w:r>
        <w:t>Para cada organización:</w:t>
      </w:r>
    </w:p>
    <w:p>
      <w:pPr>
        <w:pStyle w:val="ListNumber"/>
        <w:keepLines w:val="1"/>
        <w:keepNext w:val="1"/>
        <w:widowControl w:val="1"/>
      </w:pPr>
      <w:r>
        <w:t xml:space="preserve">Calcular subíndices por dimensión como media ponderada de las preguntas asociadas.  </w:t>
      </w:r>
    </w:p>
    <w:p>
      <w:pPr>
        <w:pStyle w:val="ListNumber"/>
        <w:keepLines w:val="1"/>
        <w:keepNext w:val="1"/>
        <w:widowControl w:val="1"/>
      </w:pPr>
      <w:r>
        <w:t xml:space="preserve">Normalizar subíndices a escala 0–100.  </w:t>
      </w:r>
    </w:p>
    <w:p>
      <w:pPr>
        <w:pStyle w:val="ListNumber"/>
        <w:keepLines w:val="1"/>
        <w:widowControl w:val="1"/>
      </w:pPr>
      <w:r>
        <w:t>Calcular IGM como suma ponderada de subíndices.</w:t>
      </w:r>
    </w:p>
    <w:p>
      <w:r>
        <w:t>Ejemplo Fórmulas (pseudocódigo Excel):</w:t>
      </w:r>
    </w:p>
    <w:p>
      <w:pPr>
        <w:pStyle w:val="ListBullet"/>
        <w:keepLines w:val="1"/>
        <w:keepNext w:val="1"/>
        <w:widowControl w:val="1"/>
      </w:pPr>
      <w:r>
        <w:t xml:space="preserve">IG_GOB = SUMPRODUCT(Respuestas_GOB; Pesos_GOB) / SUM(Pesos_GOB) </w:t>
      </w:r>
    </w:p>
    <w:p>
      <w:pPr>
        <w:pStyle w:val="ListBullet"/>
        <w:keepLines w:val="1"/>
        <w:keepNext w:val="1"/>
        <w:widowControl w:val="1"/>
      </w:pPr>
      <w:r>
        <w:t xml:space="preserve">IG_GOB_Norm = IG_GOB * (100 / Valor_Maximo_GOB) </w:t>
      </w:r>
    </w:p>
    <w:p>
      <w:pPr>
        <w:pStyle w:val="ListBullet"/>
        <w:keepLines w:val="1"/>
        <w:widowControl w:val="1"/>
      </w:pPr>
      <w:r>
        <w:t>IGM = IG_GOB_Norm * 0,2 + IG_RIESGO_Norm * 0,2 + ...</w:t>
      </w:r>
    </w:p>
    <w:p>
      <w:pPr>
        <w:pStyle w:val="Heading2"/>
        <w:keepNext/>
        <w:keepLines/>
      </w:pPr>
      <w:r>
        <w:rPr>
          <w:color w:val="0066CC"/>
        </w:rPr>
        <w:t>5. Hoja “ROI”</w:t>
      </w:r>
    </w:p>
    <w:p>
      <w:pPr>
        <w:pStyle w:val="Heading3"/>
        <w:keepNext/>
        <w:keepLines/>
      </w:pPr>
      <w:r>
        <w:t>5.1. Variables básicas</w:t>
      </w:r>
    </w:p>
    <w:p>
      <w:r>
        <w:t>Por organización:</w:t>
      </w:r>
    </w:p>
    <w:p>
      <w:pPr>
        <w:pStyle w:val="ListBullet"/>
        <w:keepLines w:val="1"/>
        <w:keepNext w:val="1"/>
        <w:widowControl w:val="1"/>
      </w:pPr>
      <w:r>
        <w:t xml:space="preserve">Coste_Ciberseguridad_Anual – Gasto anual en ciberseguridad.  </w:t>
      </w:r>
    </w:p>
    <w:p>
      <w:pPr>
        <w:pStyle w:val="ListBullet"/>
        <w:keepLines w:val="1"/>
        <w:keepNext w:val="1"/>
        <w:widowControl w:val="1"/>
      </w:pPr>
      <w:r>
        <w:t xml:space="preserve">Coste_TIC_Anual – Gasto anual total TIC.  </w:t>
      </w:r>
    </w:p>
    <w:p>
      <w:pPr>
        <w:pStyle w:val="ListBullet"/>
        <w:keepLines w:val="1"/>
        <w:keepNext w:val="1"/>
        <w:widowControl w:val="1"/>
      </w:pPr>
      <w:r>
        <w:t xml:space="preserve">%_Ciber_vs_TIC – Calculado.  </w:t>
      </w:r>
    </w:p>
    <w:p>
      <w:pPr>
        <w:pStyle w:val="ListBullet"/>
        <w:keepLines w:val="1"/>
        <w:keepNext w:val="1"/>
        <w:widowControl w:val="1"/>
      </w:pPr>
      <w:r>
        <w:t xml:space="preserve">IGM_Anterior – Madurez en año t‑1 (si se dispone).  </w:t>
      </w:r>
    </w:p>
    <w:p>
      <w:pPr>
        <w:pStyle w:val="ListBullet"/>
        <w:keepLines w:val="1"/>
        <w:keepNext w:val="1"/>
        <w:widowControl w:val="1"/>
      </w:pPr>
      <w:r>
        <w:t xml:space="preserve">IGM_Actual – Madurez en año t.  </w:t>
      </w:r>
    </w:p>
    <w:p>
      <w:pPr>
        <w:pStyle w:val="ListBullet"/>
        <w:keepLines w:val="1"/>
        <w:keepNext w:val="1"/>
        <w:widowControl w:val="1"/>
      </w:pPr>
      <w:r>
        <w:t xml:space="preserve">ALE_Anterior – Pérdida anual esperada estimada antes.  </w:t>
      </w:r>
    </w:p>
    <w:p>
      <w:pPr>
        <w:pStyle w:val="ListBullet"/>
        <w:keepLines w:val="1"/>
        <w:widowControl w:val="1"/>
      </w:pPr>
      <w:r>
        <w:t>ALE_Actual – Pérdida anual esperada estimada después.</w:t>
      </w:r>
    </w:p>
    <w:p>
      <w:pPr>
        <w:pStyle w:val="Heading3"/>
        <w:keepNext/>
        <w:keepLines/>
      </w:pPr>
      <w:r>
        <w:t>5.2. Modelo simple de ROI</w:t>
      </w:r>
    </w:p>
    <w:p>
      <w:r>
        <w:t>Se propone un modelo de ROI basado en la reducción de pérdida esperada:</w:t>
      </w:r>
    </w:p>
    <w:p>
      <w:pPr>
        <w:pStyle w:val="ListBullet"/>
        <w:keepLines w:val="1"/>
        <w:keepNext w:val="1"/>
        <w:widowControl w:val="1"/>
      </w:pPr>
      <w:r>
        <w:t xml:space="preserve">Beneficio = ALE_Anterior – ALE_Actual </w:t>
      </w:r>
    </w:p>
    <w:p>
      <w:pPr>
        <w:pStyle w:val="ListBullet"/>
        <w:keepLines w:val="1"/>
        <w:keepNext w:val="1"/>
        <w:widowControl w:val="1"/>
      </w:pPr>
      <w:r>
        <w:t xml:space="preserve">Inversión = Coste_Ciberseguridad_Anual (o incremento respecto a t‑1)  </w:t>
      </w:r>
    </w:p>
    <w:p>
      <w:pPr>
        <w:pStyle w:val="ListBullet"/>
        <w:keepLines w:val="1"/>
        <w:widowControl w:val="1"/>
      </w:pPr>
      <w:r>
        <w:t>ROI = (Beneficio – Inversión) / Inversión</w:t>
      </w:r>
    </w:p>
    <w:p>
      <w:r>
        <w:t>Los valores de ALE pueden estimarse:</w:t>
      </w:r>
    </w:p>
    <w:p>
      <w:pPr>
        <w:pStyle w:val="ListBullet"/>
        <w:keepLines w:val="1"/>
        <w:keepNext w:val="1"/>
        <w:widowControl w:val="1"/>
      </w:pPr>
      <w:r>
        <w:t xml:space="preserve">A partir de modelos internos de riesgo, si existen.  </w:t>
      </w:r>
    </w:p>
    <w:p>
      <w:pPr>
        <w:pStyle w:val="ListBullet"/>
        <w:keepLines w:val="1"/>
        <w:widowControl w:val="1"/>
      </w:pPr>
      <w:r>
        <w:t>Mediante supuestos prudentes basados en histórico de incidentes y en variación del IGM.</w:t>
      </w:r>
    </w:p>
    <w:p>
      <w:pPr>
        <w:pStyle w:val="Heading3"/>
        <w:keepNext/>
        <w:keepLines/>
      </w:pPr>
      <w:r>
        <w:t>5.3. Enfoque pragmático</w:t>
      </w:r>
    </w:p>
    <w:p>
      <w:r>
        <w:t>Si no se dispone de ALE, se pueden utilizar aproximaciones:</w:t>
      </w:r>
    </w:p>
    <w:p>
      <w:pPr>
        <w:pStyle w:val="ListBullet"/>
        <w:keepLines w:val="1"/>
        <w:keepNext w:val="1"/>
        <w:widowControl w:val="1"/>
      </w:pPr>
      <w:r>
        <w:t xml:space="preserve">Estimar una curva que relacione IGM con probabilidad de incidentes graves.  </w:t>
      </w:r>
    </w:p>
    <w:p>
      <w:pPr>
        <w:pStyle w:val="ListBullet"/>
        <w:keepLines w:val="1"/>
        <w:keepNext w:val="1"/>
        <w:widowControl w:val="1"/>
      </w:pPr>
      <w:r>
        <w:t xml:space="preserve">Utilizar benchmarks sectoriales como referencia.  </w:t>
      </w:r>
    </w:p>
    <w:p>
      <w:pPr>
        <w:pStyle w:val="ListBullet"/>
        <w:keepLines w:val="1"/>
        <w:widowControl w:val="1"/>
      </w:pPr>
      <w:r>
        <w:t>Plantear escenarios (optimista, conservador, pesimista) para exploración de sensibilidad.</w:t>
      </w:r>
    </w:p>
    <w:p>
      <w:r>
        <w:t>El Excel debe permitir ajustar estos parámetros sin necesidad de invocar a ningún oráculo estadístico.</w:t>
      </w:r>
    </w:p>
    <w:p>
      <w:pPr>
        <w:pStyle w:val="Heading2"/>
        <w:keepNext/>
        <w:keepLines/>
      </w:pPr>
      <w:r>
        <w:rPr>
          <w:color w:val="0066CC"/>
        </w:rPr>
        <w:t>6. Visualizaciones recomendadas</w:t>
      </w:r>
    </w:p>
    <w:p>
      <w:r>
        <w:t>En hojas adicionales, generar gráficos:</w:t>
      </w:r>
    </w:p>
    <w:p>
      <w:pPr>
        <w:pStyle w:val="ListBullet"/>
        <w:keepLines w:val="1"/>
        <w:keepNext w:val="1"/>
        <w:widowControl w:val="1"/>
      </w:pPr>
      <w:r>
        <w:t xml:space="preserve">Dispersión IGM vs. % presupuesto TIC en ciberseguridad.  </w:t>
      </w:r>
    </w:p>
    <w:p>
      <w:pPr>
        <w:pStyle w:val="ListBullet"/>
        <w:keepLines w:val="1"/>
        <w:keepNext w:val="1"/>
        <w:widowControl w:val="1"/>
      </w:pPr>
      <w:r>
        <w:t xml:space="preserve">Barras comparando subíndices por sector.  </w:t>
      </w:r>
    </w:p>
    <w:p>
      <w:pPr>
        <w:pStyle w:val="ListBullet"/>
        <w:keepLines w:val="1"/>
        <w:keepNext w:val="1"/>
        <w:widowControl w:val="1"/>
      </w:pPr>
      <w:r>
        <w:t xml:space="preserve">Evolución temporal del IGM para organizaciones con datos de varios años.  </w:t>
      </w:r>
    </w:p>
    <w:p>
      <w:pPr>
        <w:pStyle w:val="ListBullet"/>
        <w:keepLines w:val="1"/>
        <w:widowControl w:val="1"/>
      </w:pPr>
      <w:r>
        <w:t>Diagrama de burbujas: criticidad vs. madurez vs. tamaño de organización.</w:t>
      </w:r>
    </w:p>
    <w:p>
      <w:r>
        <w:t>Estas visualizaciones facilitan la conversación con la alta dirección y con reguladores sin necesidad de llevarles todos los detalles técnicos.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