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(estructura tipo PowerPoint)</w:t>
      </w:r>
    </w:p>
    <w:p>
      <w:r>
        <w:t>Esta plantilla describe la estructura recomendada para un reporte ejecutivo basado en los resultados de la encuesta GRC de ciberseguridad.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“Madurez GRC de Ciberseguridad – [Nombre Organización / Sector / País] – [Año]”  </w:t>
      </w:r>
    </w:p>
    <w:p>
      <w:pPr>
        <w:pStyle w:val="ListBullet"/>
        <w:keepLines w:val="1"/>
        <w:keepNext w:val="1"/>
        <w:widowControl w:val="1"/>
      </w:pPr>
      <w:r>
        <w:t xml:space="preserve">Subtítulo: “Resultados de la Encuesta Integral GRC”  </w:t>
      </w:r>
    </w:p>
    <w:p>
      <w:pPr>
        <w:pStyle w:val="ListBullet"/>
        <w:keepLines w:val="1"/>
        <w:widowControl w:val="1"/>
      </w:pPr>
      <w:r>
        <w:t>Logo(s) y fecha.</w:t>
      </w:r>
    </w:p>
    <w:p>
      <w:pPr>
        <w:pStyle w:val="Heading2"/>
        <w:keepNext/>
        <w:keepLines/>
      </w:pPr>
      <w:r>
        <w:rPr>
          <w:color w:val="0066CC"/>
        </w:rPr>
        <w:t>Diapositiva 2 – Mensajes clave</w:t>
      </w:r>
    </w:p>
    <w:p>
      <w:pPr>
        <w:pStyle w:val="ListBullet"/>
        <w:keepLines w:val="1"/>
        <w:keepNext w:val="1"/>
        <w:widowControl w:val="1"/>
      </w:pPr>
      <w:r>
        <w:t xml:space="preserve">3–5 mensajes clave en forma de titulares:  </w:t>
      </w:r>
    </w:p>
    <w:p>
      <w:pPr>
        <w:pStyle w:val="ListBullet"/>
        <w:keepLines w:val="1"/>
        <w:keepNext w:val="1"/>
        <w:widowControl w:val="1"/>
      </w:pPr>
      <w:r>
        <w:t xml:space="preserve">Nivel global de madurez (IGM) y comparación con referencia (sector / país).  </w:t>
      </w:r>
    </w:p>
    <w:p>
      <w:pPr>
        <w:pStyle w:val="ListBullet"/>
        <w:keepLines w:val="1"/>
        <w:keepNext w:val="1"/>
        <w:widowControl w:val="1"/>
      </w:pPr>
      <w:r>
        <w:t xml:space="preserve">Principales fortalezas.  </w:t>
      </w:r>
    </w:p>
    <w:p>
      <w:pPr>
        <w:pStyle w:val="ListBullet"/>
        <w:keepLines w:val="1"/>
        <w:keepNext w:val="1"/>
        <w:widowControl w:val="1"/>
      </w:pPr>
      <w:r>
        <w:t xml:space="preserve">Principales brechas y riesgos relevantes.  </w:t>
      </w:r>
    </w:p>
    <w:p>
      <w:pPr>
        <w:pStyle w:val="ListBullet"/>
        <w:keepLines w:val="1"/>
        <w:widowControl w:val="1"/>
      </w:pPr>
      <w:r>
        <w:t>Recomendaciones de alto nivel para los próximos 12–24 meses.</w:t>
      </w:r>
    </w:p>
    <w:p>
      <w:pPr>
        <w:pStyle w:val="Heading2"/>
        <w:keepNext/>
        <w:keepLines/>
      </w:pPr>
      <w:r>
        <w:rPr>
          <w:color w:val="0066CC"/>
        </w:rPr>
        <w:t>Diapositiva 3 – Contexto y metodología</w:t>
      </w:r>
    </w:p>
    <w:p>
      <w:pPr>
        <w:pStyle w:val="ListBullet"/>
        <w:keepLines w:val="1"/>
        <w:keepNext w:val="1"/>
        <w:widowControl w:val="1"/>
      </w:pPr>
      <w:r>
        <w:t xml:space="preserve">Breve descripción de la encuesta.  </w:t>
      </w:r>
    </w:p>
    <w:p>
      <w:pPr>
        <w:pStyle w:val="ListBullet"/>
        <w:keepLines w:val="1"/>
        <w:keepNext w:val="1"/>
        <w:widowControl w:val="1"/>
      </w:pPr>
      <w:r>
        <w:t xml:space="preserve">Número de organizaciones participantes (si aplica).  </w:t>
      </w:r>
    </w:p>
    <w:p>
      <w:pPr>
        <w:pStyle w:val="ListBullet"/>
        <w:keepLines w:val="1"/>
        <w:widowControl w:val="1"/>
      </w:pPr>
      <w:r>
        <w:t>Marcos de referencia utilizados (NIS2, ENISA, NIST, etc.).[web:9][web:12][web:13]</w:t>
      </w:r>
    </w:p>
    <w:p>
      <w:pPr>
        <w:pStyle w:val="Heading2"/>
        <w:keepNext/>
        <w:keepLines/>
      </w:pPr>
      <w:r>
        <w:rPr>
          <w:color w:val="0066CC"/>
        </w:rPr>
        <w:t>Diapositiva 4 – IGM global y por dimensiones</w:t>
      </w:r>
    </w:p>
    <w:p>
      <w:pPr>
        <w:pStyle w:val="ListBullet"/>
        <w:keepLines w:val="1"/>
        <w:keepNext w:val="1"/>
        <w:widowControl w:val="1"/>
      </w:pPr>
      <w:r>
        <w:t xml:space="preserve">Gráfico de barras: IGM global y subíndices (Gobernanza, Riesgo, Cumplimiento, Zero Trust, Resiliencia, Cultura).  </w:t>
      </w:r>
    </w:p>
    <w:p>
      <w:pPr>
        <w:pStyle w:val="ListBullet"/>
        <w:keepLines w:val="1"/>
        <w:widowControl w:val="1"/>
      </w:pPr>
      <w:r>
        <w:t>Comentario corto sobre dónde se sitúa la organización respecto a referencias.</w:t>
      </w:r>
    </w:p>
    <w:p>
      <w:pPr>
        <w:pStyle w:val="Heading2"/>
        <w:keepNext/>
        <w:keepLines/>
      </w:pPr>
      <w:r>
        <w:rPr>
          <w:color w:val="0066CC"/>
        </w:rPr>
        <w:t>Diapositiva 5 – Gobernanza</w:t>
      </w:r>
    </w:p>
    <w:p>
      <w:pPr>
        <w:pStyle w:val="ListBullet"/>
        <w:keepLines w:val="1"/>
        <w:keepNext w:val="1"/>
        <w:widowControl w:val="1"/>
      </w:pPr>
      <w:r>
        <w:t xml:space="preserve">Resumen visual de IG_GOB.  </w:t>
      </w:r>
    </w:p>
    <w:p>
      <w:pPr>
        <w:pStyle w:val="ListBullet"/>
        <w:keepLines w:val="1"/>
        <w:keepNext w:val="1"/>
        <w:widowControl w:val="1"/>
      </w:pPr>
      <w:r>
        <w:t xml:space="preserve">2–3 puntos clave:  </w:t>
      </w:r>
    </w:p>
    <w:p>
      <w:pPr>
        <w:pStyle w:val="ListBullet"/>
        <w:keepLines w:val="1"/>
        <w:keepNext w:val="1"/>
        <w:widowControl w:val="1"/>
      </w:pPr>
      <w:r>
        <w:t xml:space="preserve">Existencia (o no) de estrategia aprobada.  </w:t>
      </w:r>
    </w:p>
    <w:p>
      <w:pPr>
        <w:pStyle w:val="ListBullet"/>
        <w:keepLines w:val="1"/>
        <w:keepNext w:val="1"/>
        <w:widowControl w:val="1"/>
      </w:pPr>
      <w:r>
        <w:t xml:space="preserve">Rol del CISO y comités.  </w:t>
      </w:r>
    </w:p>
    <w:p>
      <w:pPr>
        <w:pStyle w:val="ListBullet"/>
        <w:keepLines w:val="1"/>
        <w:widowControl w:val="1"/>
      </w:pPr>
      <w:r>
        <w:t>Reporting al consejo.</w:t>
      </w:r>
    </w:p>
    <w:p>
      <w:pPr>
        <w:pStyle w:val="Heading2"/>
        <w:keepNext/>
        <w:keepLines/>
      </w:pPr>
      <w:r>
        <w:rPr>
          <w:color w:val="0066CC"/>
        </w:rPr>
        <w:t>Diapositiva 6 – Gestión de riesgos</w:t>
      </w:r>
    </w:p>
    <w:p>
      <w:pPr>
        <w:pStyle w:val="ListBullet"/>
        <w:keepLines w:val="1"/>
        <w:keepNext w:val="1"/>
        <w:widowControl w:val="1"/>
      </w:pPr>
      <w:r>
        <w:t xml:space="preserve">Resumen IG_RIESGO.  </w:t>
      </w:r>
    </w:p>
    <w:p>
      <w:pPr>
        <w:pStyle w:val="ListBullet"/>
        <w:keepLines w:val="1"/>
        <w:keepNext w:val="1"/>
        <w:widowControl w:val="1"/>
      </w:pPr>
      <w:r>
        <w:t xml:space="preserve">Cobertura de análisis de riesgos, métodos (cualitativos / cuantitativos), integración con negocio.  </w:t>
      </w:r>
    </w:p>
    <w:p>
      <w:pPr>
        <w:pStyle w:val="ListBullet"/>
        <w:keepLines w:val="1"/>
        <w:widowControl w:val="1"/>
      </w:pPr>
      <w:r>
        <w:t>Mapa simple de servicios críticos vs. madurez.</w:t>
      </w:r>
    </w:p>
    <w:p>
      <w:pPr>
        <w:pStyle w:val="Heading2"/>
        <w:keepNext/>
        <w:keepLines/>
      </w:pPr>
      <w:r>
        <w:rPr>
          <w:color w:val="0066CC"/>
        </w:rPr>
        <w:t>Diapositiva 7 – Cumplimiento normativo</w:t>
      </w:r>
    </w:p>
    <w:p>
      <w:pPr>
        <w:pStyle w:val="ListBullet"/>
        <w:keepLines w:val="1"/>
        <w:keepNext w:val="1"/>
        <w:widowControl w:val="1"/>
      </w:pPr>
      <w:r>
        <w:t xml:space="preserve">Resumen IG_CUMP.  </w:t>
      </w:r>
    </w:p>
    <w:p>
      <w:pPr>
        <w:pStyle w:val="ListBullet"/>
        <w:keepLines w:val="1"/>
        <w:keepNext w:val="1"/>
        <w:widowControl w:val="1"/>
      </w:pPr>
      <w:r>
        <w:t xml:space="preserve">Marcos aplicables (ENS, NIS2, DORA, ISO, etc.).[web:5][web:9][web:12]  </w:t>
      </w:r>
    </w:p>
    <w:p>
      <w:pPr>
        <w:pStyle w:val="ListBullet"/>
        <w:keepLines w:val="1"/>
        <w:keepNext w:val="1"/>
        <w:widowControl w:val="1"/>
      </w:pPr>
      <w:r>
        <w:t xml:space="preserve">Nivel de cumplimiento percibido.  </w:t>
      </w:r>
    </w:p>
    <w:p>
      <w:pPr>
        <w:pStyle w:val="ListBullet"/>
        <w:keepLines w:val="1"/>
        <w:widowControl w:val="1"/>
      </w:pPr>
      <w:r>
        <w:t>Riesgos de incumplimiento relevantes.</w:t>
      </w:r>
    </w:p>
    <w:p>
      <w:pPr>
        <w:pStyle w:val="Heading2"/>
        <w:keepNext/>
        <w:keepLines/>
      </w:pPr>
      <w:r>
        <w:rPr>
          <w:color w:val="0066CC"/>
        </w:rPr>
        <w:t>Diapositiva 8 – Capacidades técnicas y Zero Trust</w:t>
      </w:r>
    </w:p>
    <w:p>
      <w:pPr>
        <w:pStyle w:val="ListBullet"/>
        <w:keepLines w:val="1"/>
        <w:keepNext w:val="1"/>
        <w:widowControl w:val="1"/>
      </w:pPr>
      <w:r>
        <w:t xml:space="preserve">Resumen IG_ZT.  </w:t>
      </w:r>
    </w:p>
    <w:p>
      <w:pPr>
        <w:pStyle w:val="ListBullet"/>
        <w:keepLines w:val="1"/>
        <w:keepNext w:val="1"/>
        <w:widowControl w:val="1"/>
      </w:pPr>
      <w:r>
        <w:t xml:space="preserve">Gráfico radar: identidades, redes, datos, detección, respuesta.  </w:t>
      </w:r>
    </w:p>
    <w:p>
      <w:pPr>
        <w:pStyle w:val="ListBullet"/>
        <w:keepLines w:val="1"/>
        <w:widowControl w:val="1"/>
      </w:pPr>
      <w:r>
        <w:t xml:space="preserve">Estado de MFA, ZTNA/SASE, SOC/EDR.  </w:t>
      </w:r>
    </w:p>
    <w:p>
      <w:pPr>
        <w:pStyle w:val="Heading2"/>
        <w:keepNext/>
        <w:keepLines/>
      </w:pPr>
      <w:r>
        <w:rPr>
          <w:color w:val="0066CC"/>
        </w:rPr>
        <w:t>Diapositiva 9 – Resiliencia y continuidad</w:t>
      </w:r>
    </w:p>
    <w:p>
      <w:pPr>
        <w:pStyle w:val="ListBullet"/>
        <w:keepLines w:val="1"/>
        <w:keepNext w:val="1"/>
        <w:widowControl w:val="1"/>
      </w:pPr>
      <w:r>
        <w:t xml:space="preserve">Resumen IG_RES.  </w:t>
      </w:r>
    </w:p>
    <w:p>
      <w:pPr>
        <w:pStyle w:val="ListBullet"/>
        <w:keepLines w:val="1"/>
        <w:keepNext w:val="1"/>
        <w:widowControl w:val="1"/>
      </w:pPr>
      <w:r>
        <w:t xml:space="preserve">Planes de respuesta a incidentes y BCP/DRP.  </w:t>
      </w:r>
    </w:p>
    <w:p>
      <w:pPr>
        <w:pStyle w:val="ListBullet"/>
        <w:keepLines w:val="1"/>
        <w:widowControl w:val="1"/>
      </w:pPr>
      <w:r>
        <w:t>Nivel de pruebas y ejercicios.</w:t>
      </w:r>
    </w:p>
    <w:p>
      <w:pPr>
        <w:pStyle w:val="Heading2"/>
        <w:keepNext/>
        <w:keepLines/>
      </w:pPr>
      <w:r>
        <w:rPr>
          <w:color w:val="0066CC"/>
        </w:rPr>
        <w:t>Diapositiva 10 – Cultura, formación y terceros</w:t>
      </w:r>
    </w:p>
    <w:p>
      <w:pPr>
        <w:pStyle w:val="ListBullet"/>
        <w:keepLines w:val="1"/>
        <w:keepNext w:val="1"/>
        <w:widowControl w:val="1"/>
      </w:pPr>
      <w:r>
        <w:t xml:space="preserve">Resumen IG_CULT.  </w:t>
      </w:r>
    </w:p>
    <w:p>
      <w:pPr>
        <w:pStyle w:val="ListBullet"/>
        <w:keepLines w:val="1"/>
        <w:keepNext w:val="1"/>
        <w:widowControl w:val="1"/>
      </w:pPr>
      <w:r>
        <w:t xml:space="preserve">Formación y concienciación.  </w:t>
      </w:r>
    </w:p>
    <w:p>
      <w:pPr>
        <w:pStyle w:val="ListBullet"/>
        <w:keepLines w:val="1"/>
        <w:widowControl w:val="1"/>
      </w:pPr>
      <w:r>
        <w:t>Gestión de riesgos de terceros y cadena de suministro.</w:t>
      </w:r>
    </w:p>
    <w:p>
      <w:pPr>
        <w:pStyle w:val="Heading2"/>
        <w:keepNext/>
        <w:keepLines/>
      </w:pPr>
      <w:r>
        <w:rPr>
          <w:color w:val="0066CC"/>
        </w:rPr>
        <w:t>Diapositiva 11 – IGM y ROI</w:t>
      </w:r>
    </w:p>
    <w:p>
      <w:pPr>
        <w:pStyle w:val="ListBullet"/>
        <w:keepLines w:val="1"/>
        <w:keepNext w:val="1"/>
        <w:widowControl w:val="1"/>
      </w:pPr>
      <w:r>
        <w:t xml:space="preserve">Gráfico: % presupuesto TIC en ciberseguridad vs. IGM.  </w:t>
      </w:r>
    </w:p>
    <w:p>
      <w:pPr>
        <w:pStyle w:val="ListBullet"/>
        <w:keepLines w:val="1"/>
        <w:keepNext w:val="1"/>
        <w:widowControl w:val="1"/>
      </w:pPr>
      <w:r>
        <w:t xml:space="preserve">Comentario sobre eficiencia de la inversión.  </w:t>
      </w:r>
    </w:p>
    <w:p>
      <w:pPr>
        <w:pStyle w:val="ListBullet"/>
        <w:keepLines w:val="1"/>
        <w:widowControl w:val="1"/>
      </w:pPr>
      <w:r>
        <w:t>Si se dispone de datos, estimación de beneficio económico (reducción de pérdida esperada).</w:t>
      </w:r>
    </w:p>
    <w:p>
      <w:pPr>
        <w:pStyle w:val="Heading2"/>
        <w:keepNext/>
        <w:keepLines/>
      </w:pPr>
      <w:r>
        <w:rPr>
          <w:color w:val="0066CC"/>
        </w:rPr>
        <w:t>Diapositiva 12 – Recomendaciones prioritarias</w:t>
      </w:r>
    </w:p>
    <w:p>
      <w:pPr>
        <w:pStyle w:val="ListBullet"/>
        <w:keepLines w:val="1"/>
        <w:keepNext w:val="1"/>
        <w:widowControl w:val="1"/>
      </w:pPr>
      <w:r>
        <w:t xml:space="preserve">Lista numerada de recomendaciones agrupadas por horizonte temporal:  </w:t>
      </w:r>
    </w:p>
    <w:p>
      <w:pPr>
        <w:pStyle w:val="ListBullet"/>
        <w:keepLines w:val="1"/>
        <w:keepNext w:val="1"/>
        <w:widowControl w:val="1"/>
      </w:pPr>
      <w:r>
        <w:t xml:space="preserve">0–12 meses: acciones urgentes / alto impacto.  </w:t>
      </w:r>
    </w:p>
    <w:p>
      <w:pPr>
        <w:pStyle w:val="ListBullet"/>
        <w:keepLines w:val="1"/>
        <w:keepNext w:val="1"/>
        <w:widowControl w:val="1"/>
      </w:pPr>
      <w:r>
        <w:t xml:space="preserve">12–24 meses: consolidación y madurez.  </w:t>
      </w:r>
    </w:p>
    <w:p>
      <w:pPr>
        <w:pStyle w:val="ListBullet"/>
        <w:keepLines w:val="1"/>
        <w:widowControl w:val="1"/>
      </w:pPr>
      <w:r>
        <w:br/>
        <w:br/>
        <w:t>24 meses: iniciativas estructurales.</w:t>
        <w:br/>
        <w:br/>
      </w:r>
    </w:p>
    <w:p>
      <w:r>
        <w:t>24 meses: iniciativas estructurales.</w:t>
      </w:r>
    </w:p>
    <w:p>
      <w:pPr>
        <w:pStyle w:val="Heading2"/>
        <w:keepNext/>
        <w:keepLines/>
      </w:pPr>
      <w:r>
        <w:rPr>
          <w:color w:val="0066CC"/>
        </w:rPr>
        <w:t>Diapositiva 13 – Conclusión</w:t>
      </w:r>
    </w:p>
    <w:p>
      <w:pPr>
        <w:pStyle w:val="ListBullet"/>
        <w:keepLines w:val="1"/>
        <w:keepNext w:val="1"/>
        <w:widowControl w:val="1"/>
      </w:pPr>
      <w:r>
        <w:t xml:space="preserve">Mensaje final sobre la importancia de integrar GRC en la estrategia de negocio.  </w:t>
      </w:r>
    </w:p>
    <w:p>
      <w:pPr>
        <w:pStyle w:val="ListBullet"/>
        <w:keepLines w:val="1"/>
        <w:widowControl w:val="1"/>
      </w:pPr>
      <w:r>
        <w:t>Invitación a revisar periódicamente la madurez y repetir la encuesta para medir progreso.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