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Enfoque GQM + PRAGMATIC</w:t>
      </w:r>
    </w:p>
    <w:p>
      <w:r>
        <w:t>Versión 1.0 – 2026</w:t>
      </w:r>
    </w:p>
    <w:p>
      <w:r>
        <w:t>Esta plantilla describe la estructura sugerida de un informe ejecutivo en formato presentación basado en los resultados del IGM y de las métricas GQM + PRAGMATIC.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“Madurez GRC de Ciberseguridad – [Ámbito: España / Sector / Organización] – [Año]”  </w:t>
      </w:r>
    </w:p>
    <w:p>
      <w:pPr>
        <w:pStyle w:val="ListBullet"/>
        <w:keepLines w:val="1"/>
        <w:keepNext w:val="1"/>
        <w:widowControl w:val="1"/>
      </w:pPr>
      <w:r>
        <w:t xml:space="preserve">Subtítulo: “Resultados basados en marco GQM + PRAGMATIC”  </w:t>
      </w:r>
    </w:p>
    <w:p>
      <w:pPr>
        <w:pStyle w:val="ListBullet"/>
        <w:keepLines w:val="1"/>
        <w:widowControl w:val="1"/>
      </w:pPr>
      <w:r>
        <w:t>Logos, fecha, autoría.</w:t>
      </w:r>
    </w:p>
    <w:p>
      <w:pPr>
        <w:pStyle w:val="Heading2"/>
        <w:keepNext/>
        <w:keepLines/>
      </w:pPr>
      <w:r>
        <w:rPr>
          <w:color w:val="0066CC"/>
        </w:rPr>
        <w:t>Diapositiva 2 – Mensajes clave</w:t>
      </w:r>
    </w:p>
    <w:p>
      <w:pPr>
        <w:pStyle w:val="ListBullet"/>
        <w:keepLines w:val="1"/>
        <w:keepNext w:val="1"/>
        <w:widowControl w:val="1"/>
      </w:pPr>
      <w:r>
        <w:t xml:space="preserve">3–5 mensajes en formato breve:  </w:t>
      </w:r>
    </w:p>
    <w:p>
      <w:pPr>
        <w:pStyle w:val="ListBullet"/>
        <w:keepLines w:val="1"/>
        <w:keepNext w:val="1"/>
        <w:widowControl w:val="1"/>
      </w:pPr>
      <w:r>
        <w:t xml:space="preserve">Nivel global de IGM y comparación con años previos o referentes.  </w:t>
      </w:r>
    </w:p>
    <w:p>
      <w:pPr>
        <w:pStyle w:val="ListBullet"/>
        <w:keepLines w:val="1"/>
        <w:keepNext w:val="1"/>
        <w:widowControl w:val="1"/>
      </w:pPr>
      <w:r>
        <w:t xml:space="preserve">Principales fortalezas (por dimensión).  </w:t>
      </w:r>
    </w:p>
    <w:p>
      <w:pPr>
        <w:pStyle w:val="ListBullet"/>
        <w:keepLines w:val="1"/>
        <w:keepNext w:val="1"/>
        <w:widowControl w:val="1"/>
      </w:pPr>
      <w:r>
        <w:t xml:space="preserve">Principales debilidades / zonas de riesgo (sectores, capacidades).  </w:t>
      </w:r>
    </w:p>
    <w:p>
      <w:pPr>
        <w:pStyle w:val="ListBullet"/>
        <w:keepLines w:val="1"/>
        <w:widowControl w:val="1"/>
      </w:pPr>
      <w:r>
        <w:t>Áreas prioritarias de intervención (regulatoria, inversión, coordinación).</w:t>
      </w:r>
    </w:p>
    <w:p>
      <w:pPr>
        <w:pStyle w:val="Heading2"/>
        <w:keepNext/>
        <w:keepLines/>
      </w:pPr>
      <w:r>
        <w:rPr>
          <w:color w:val="0066CC"/>
        </w:rPr>
        <w:t>Diapositiva 3 – Contexto y metodología</w:t>
      </w:r>
    </w:p>
    <w:p>
      <w:pPr>
        <w:pStyle w:val="ListBullet"/>
        <w:keepLines w:val="1"/>
        <w:keepNext w:val="1"/>
        <w:widowControl w:val="1"/>
      </w:pPr>
      <w:r>
        <w:t xml:space="preserve">Resumen del enfoque GQM (objetivos → preguntas → métricas).  </w:t>
      </w:r>
    </w:p>
    <w:p>
      <w:pPr>
        <w:pStyle w:val="ListBullet"/>
        <w:keepLines w:val="1"/>
        <w:keepNext w:val="1"/>
        <w:widowControl w:val="1"/>
      </w:pPr>
      <w:r>
        <w:t xml:space="preserve">Referencias a marcos normativos (NIS2, NIS360, ENS, NIST CSF/RMF, DORA).[web:9][web:12][web:13][web:5]  </w:t>
      </w:r>
    </w:p>
    <w:p>
      <w:pPr>
        <w:pStyle w:val="ListBullet"/>
        <w:keepLines w:val="1"/>
        <w:widowControl w:val="1"/>
      </w:pPr>
      <w:r>
        <w:t>Explicación sintética de PRAGMATIC y por qué se han seleccionado las métricas actuales.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 de barra o velocímetro con IGM global (0–100).  </w:t>
      </w:r>
    </w:p>
    <w:p>
      <w:pPr>
        <w:pStyle w:val="ListBullet"/>
        <w:keepLines w:val="1"/>
        <w:widowControl w:val="1"/>
      </w:pPr>
      <w:r>
        <w:t>Comentario: posición relativa respecto al objetivo país o sector (por ejemplo, “Meta 2027: ≥ 70”).</w:t>
      </w:r>
    </w:p>
    <w:p>
      <w:pPr>
        <w:pStyle w:val="Heading2"/>
        <w:keepNext/>
        <w:keepLines/>
      </w:pPr>
      <w:r>
        <w:rPr>
          <w:color w:val="0066CC"/>
        </w:rPr>
        <w:t>Diapositiva 5 – Subíndices por dimensión</w:t>
      </w:r>
    </w:p>
    <w:p>
      <w:pPr>
        <w:pStyle w:val="ListBullet"/>
        <w:keepLines w:val="1"/>
        <w:keepNext w:val="1"/>
        <w:widowControl w:val="1"/>
      </w:pPr>
      <w:r>
        <w:t xml:space="preserve">Gráfico de barras agrupadas: IG_GOB, IG_RIESGO, IG_CUMP, IG_CAPRES, IG_INV.  </w:t>
      </w:r>
    </w:p>
    <w:p>
      <w:pPr>
        <w:pStyle w:val="ListBullet"/>
        <w:keepLines w:val="1"/>
        <w:widowControl w:val="1"/>
      </w:pPr>
      <w:r>
        <w:t>Comentarios cortos por dimensión (1 línea cada una).</w:t>
      </w:r>
    </w:p>
    <w:p>
      <w:pPr>
        <w:pStyle w:val="Heading2"/>
        <w:keepNext/>
        <w:keepLines/>
      </w:pPr>
      <w:r>
        <w:rPr>
          <w:color w:val="0066CC"/>
        </w:rPr>
        <w:t>Diapositiva 6 – Gobernanza</w:t>
      </w:r>
    </w:p>
    <w:p>
      <w:pPr>
        <w:pStyle w:val="ListBullet"/>
        <w:keepLines w:val="1"/>
        <w:keepNext w:val="1"/>
        <w:widowControl w:val="1"/>
      </w:pPr>
      <w:r>
        <w:t xml:space="preserve">Gráfico radar o barras de indicadores clave de gobernanza (GOB-1.1.a, GOB-1.2.a, GOB-1.3.a).  </w:t>
      </w:r>
    </w:p>
    <w:p>
      <w:pPr>
        <w:pStyle w:val="ListBullet"/>
        <w:keepLines w:val="1"/>
        <w:keepNext w:val="1"/>
        <w:widowControl w:val="1"/>
      </w:pPr>
      <w:r>
        <w:t xml:space="preserve">2–3 mensajes:  </w:t>
      </w:r>
    </w:p>
    <w:p>
      <w:pPr>
        <w:pStyle w:val="ListBullet"/>
        <w:keepLines w:val="1"/>
        <w:keepNext w:val="1"/>
        <w:widowControl w:val="1"/>
      </w:pPr>
      <w:r>
        <w:t xml:space="preserve">% entidades con estrategia aprobada.  </w:t>
      </w:r>
    </w:p>
    <w:p>
      <w:pPr>
        <w:pStyle w:val="ListBullet"/>
        <w:keepLines w:val="1"/>
        <w:keepNext w:val="1"/>
        <w:widowControl w:val="1"/>
      </w:pPr>
      <w:r>
        <w:t xml:space="preserve">% con CISO con acceso al consejo.  </w:t>
      </w:r>
    </w:p>
    <w:p>
      <w:pPr>
        <w:pStyle w:val="ListBullet"/>
        <w:keepLines w:val="1"/>
        <w:widowControl w:val="1"/>
      </w:pPr>
      <w:r>
        <w:t>Frecuencia de reporting.</w:t>
      </w:r>
    </w:p>
    <w:p>
      <w:pPr>
        <w:pStyle w:val="Heading2"/>
        <w:keepNext/>
        <w:keepLines/>
      </w:pPr>
      <w:r>
        <w:rPr>
          <w:color w:val="0066CC"/>
        </w:rPr>
        <w:t>Diapositiva 7 – Riesgo</w:t>
      </w:r>
    </w:p>
    <w:p>
      <w:pPr>
        <w:pStyle w:val="ListBullet"/>
        <w:keepLines w:val="1"/>
        <w:keepNext w:val="1"/>
        <w:widowControl w:val="1"/>
      </w:pPr>
      <w:r>
        <w:t xml:space="preserve">Gráfico que muestre:  </w:t>
      </w:r>
    </w:p>
    <w:p>
      <w:pPr>
        <w:pStyle w:val="ListBullet"/>
        <w:keepLines w:val="1"/>
        <w:keepNext w:val="1"/>
        <w:widowControl w:val="1"/>
      </w:pPr>
      <w:r>
        <w:t xml:space="preserve">% entidades con mapeo de servicios críticos (RIESGO-1.1.a).  </w:t>
      </w:r>
    </w:p>
    <w:p>
      <w:pPr>
        <w:pStyle w:val="ListBullet"/>
        <w:keepLines w:val="1"/>
        <w:keepNext w:val="1"/>
        <w:widowControl w:val="1"/>
      </w:pPr>
      <w:r>
        <w:t xml:space="preserve">Nº sectores en zona de riesgo (RIESGO-1.2.a).  </w:t>
      </w:r>
    </w:p>
    <w:p>
      <w:pPr>
        <w:pStyle w:val="ListBullet"/>
        <w:keepLines w:val="1"/>
        <w:keepNext w:val="1"/>
        <w:widowControl w:val="1"/>
      </w:pPr>
      <w:r>
        <w:t xml:space="preserve">Frecuencia de análisis de riesgos (RIESGO-1.3.a).  </w:t>
      </w:r>
    </w:p>
    <w:p>
      <w:pPr>
        <w:pStyle w:val="ListBullet"/>
        <w:keepLines w:val="1"/>
        <w:widowControl w:val="1"/>
      </w:pPr>
      <w:r>
        <w:t>Comentario: implicaciones para priorización nacional.</w:t>
      </w:r>
    </w:p>
    <w:p>
      <w:pPr>
        <w:pStyle w:val="Heading2"/>
        <w:keepNext/>
        <w:keepLines/>
      </w:pPr>
      <w:r>
        <w:rPr>
          <w:color w:val="0066CC"/>
        </w:rPr>
        <w:t>Diapositiva 8 – Cumplimiento</w:t>
      </w:r>
    </w:p>
    <w:p>
      <w:pPr>
        <w:pStyle w:val="ListBullet"/>
        <w:keepLines w:val="1"/>
        <w:keepNext w:val="1"/>
        <w:widowControl w:val="1"/>
      </w:pPr>
      <w:r>
        <w:t xml:space="preserve">Barras o donuts con:  </w:t>
      </w:r>
    </w:p>
    <w:p>
      <w:pPr>
        <w:pStyle w:val="ListBullet"/>
        <w:keepLines w:val="1"/>
        <w:keepNext w:val="1"/>
        <w:widowControl w:val="1"/>
      </w:pPr>
      <w:r>
        <w:t xml:space="preserve">% organizaciones en nivel “alto/sistemático” de cumplimiento (CUMP-1.1.a).  </w:t>
      </w:r>
    </w:p>
    <w:p>
      <w:pPr>
        <w:pStyle w:val="ListBullet"/>
        <w:keepLines w:val="1"/>
        <w:keepNext w:val="1"/>
        <w:widowControl w:val="1"/>
      </w:pPr>
      <w:r>
        <w:t xml:space="preserve">% con auditorías recientes (CUMP-1.2.a).  </w:t>
      </w:r>
    </w:p>
    <w:p>
      <w:pPr>
        <w:pStyle w:val="ListBullet"/>
        <w:keepLines w:val="1"/>
        <w:keepNext w:val="1"/>
        <w:widowControl w:val="1"/>
      </w:pPr>
      <w:r>
        <w:t xml:space="preserve">% con inventario de controles mapeado (CUMP-1.3.a).  </w:t>
      </w:r>
    </w:p>
    <w:p>
      <w:pPr>
        <w:pStyle w:val="ListBullet"/>
        <w:keepLines w:val="1"/>
        <w:widowControl w:val="1"/>
      </w:pPr>
      <w:r>
        <w:t>Notas sobre alineamiento con NIS2, ENS, DORA.[web:9][web:5][web:12]</w:t>
      </w:r>
    </w:p>
    <w:p>
      <w:pPr>
        <w:pStyle w:val="Heading2"/>
        <w:keepNext/>
        <w:keepLines/>
      </w:pPr>
      <w:r>
        <w:rPr>
          <w:color w:val="0066CC"/>
        </w:rPr>
        <w:t>Diapositiva 9 – Capacidades técnicas y Zero Trust</w:t>
      </w:r>
    </w:p>
    <w:p>
      <w:pPr>
        <w:pStyle w:val="ListBullet"/>
        <w:keepLines w:val="1"/>
        <w:keepNext w:val="1"/>
        <w:widowControl w:val="1"/>
      </w:pPr>
      <w:r>
        <w:t xml:space="preserve">Gráfico radar: MFA, ZTNA/SASE, SOC/EDR, protección de datos, etc. (CAP-1.x).  </w:t>
      </w:r>
    </w:p>
    <w:p>
      <w:pPr>
        <w:pStyle w:val="ListBullet"/>
        <w:keepLines w:val="1"/>
        <w:widowControl w:val="1"/>
      </w:pPr>
      <w:r>
        <w:t>Enfoque narrativo: estado de Zero Trust, modernización de redes, detección y respuesta.</w:t>
      </w:r>
    </w:p>
    <w:p>
      <w:pPr>
        <w:pStyle w:val="Heading2"/>
        <w:keepNext/>
        <w:keepLines/>
      </w:pPr>
      <w:r>
        <w:rPr>
          <w:color w:val="0066CC"/>
        </w:rPr>
        <w:t>Diapositiva 10 – Resiliencia y continuidad</w:t>
      </w:r>
    </w:p>
    <w:p>
      <w:pPr>
        <w:pStyle w:val="ListBullet"/>
        <w:keepLines w:val="1"/>
        <w:keepNext w:val="1"/>
        <w:widowControl w:val="1"/>
      </w:pPr>
      <w:r>
        <w:t xml:space="preserve">Indicador RES-1.1.a y otros relativos a BCP/DRP, pruebas, simulacros.  </w:t>
      </w:r>
    </w:p>
    <w:p>
      <w:pPr>
        <w:pStyle w:val="ListBullet"/>
        <w:keepLines w:val="1"/>
        <w:widowControl w:val="1"/>
      </w:pPr>
      <w:r>
        <w:t>Mensaje: “En qué medida las organizaciones están preparadas para ‘cuando’ y no ‘si’”.</w:t>
      </w:r>
    </w:p>
    <w:p>
      <w:pPr>
        <w:pStyle w:val="Heading2"/>
        <w:keepNext/>
        <w:keepLines/>
      </w:pPr>
      <w:r>
        <w:rPr>
          <w:color w:val="0066CC"/>
        </w:rPr>
        <w:t>Diapositiva 11 – Inversión y ROI</w:t>
      </w:r>
    </w:p>
    <w:p>
      <w:pPr>
        <w:pStyle w:val="ListBullet"/>
        <w:keepLines w:val="1"/>
        <w:keepNext w:val="1"/>
        <w:widowControl w:val="1"/>
      </w:pPr>
      <w:r>
        <w:t xml:space="preserve">Gráfico de dispersión: IGM vs. % presupuesto TIC en ciberseguridad (INV-1.1, INV-1.2).  </w:t>
      </w:r>
    </w:p>
    <w:p>
      <w:pPr>
        <w:pStyle w:val="ListBullet"/>
        <w:keepLines w:val="1"/>
        <w:keepNext w:val="1"/>
        <w:widowControl w:val="1"/>
      </w:pPr>
      <w:r>
        <w:t xml:space="preserve">Comentario sobre eficiencia: organizaciones que logran mejor madurez con niveles de inversión similares.  </w:t>
      </w:r>
    </w:p>
    <w:p>
      <w:pPr>
        <w:pStyle w:val="ListBullet"/>
        <w:keepLines w:val="1"/>
        <w:widowControl w:val="1"/>
      </w:pPr>
      <w:r>
        <w:t>Si se dispone de datos, incluir resumen de estimaciones de ROI (reducción de pérdida esperada).</w:t>
      </w:r>
    </w:p>
    <w:p>
      <w:pPr>
        <w:pStyle w:val="Heading2"/>
        <w:keepNext/>
        <w:keepLines/>
      </w:pPr>
      <w:r>
        <w:rPr>
          <w:color w:val="0066CC"/>
        </w:rPr>
        <w:t>Diapositiva 12 – Priorización de acciones</w:t>
      </w:r>
    </w:p>
    <w:p>
      <w:pPr>
        <w:pStyle w:val="ListBullet"/>
        <w:keepLines w:val="1"/>
        <w:keepNext w:val="1"/>
        <w:widowControl w:val="1"/>
      </w:pPr>
      <w:r>
        <w:t xml:space="preserve">Tabla con tres horizontes temporales:  </w:t>
      </w:r>
    </w:p>
    <w:p>
      <w:pPr>
        <w:pStyle w:val="ListBullet"/>
        <w:keepLines w:val="1"/>
        <w:keepNext w:val="1"/>
        <w:widowControl w:val="1"/>
      </w:pPr>
      <w:r>
        <w:t xml:space="preserve">0–12 meses: medidas urgentes (p. ej. MFA universal, planes de respuesta mínimos).  </w:t>
      </w:r>
    </w:p>
    <w:p>
      <w:pPr>
        <w:pStyle w:val="ListBullet"/>
        <w:keepLines w:val="1"/>
        <w:keepNext w:val="1"/>
        <w:widowControl w:val="1"/>
      </w:pPr>
      <w:r>
        <w:t xml:space="preserve">12–24 meses: consolidación (BCP/DRP integrados, SOC, Zero Trust básico).  </w:t>
      </w:r>
    </w:p>
    <w:p>
      <w:pPr>
        <w:pStyle w:val="ListBullet"/>
        <w:keepLines w:val="1"/>
        <w:widowControl w:val="1"/>
      </w:pPr>
      <w:r>
        <w:br/>
        <w:br/>
        <w:t>24 meses: reformas estructurales (revisión regulatoria, programas nacionales sectoriales).</w:t>
        <w:br/>
        <w:br/>
      </w:r>
    </w:p>
    <w:p>
      <w:r>
        <w:t>24 meses: reformas estructurales (revisión regulatoria, programas nacionales sectoriales).</w:t>
      </w:r>
    </w:p>
    <w:p>
      <w:pPr>
        <w:pStyle w:val="Heading2"/>
        <w:keepNext/>
        <w:keepLines/>
      </w:pPr>
      <w:r>
        <w:rPr>
          <w:color w:val="0066CC"/>
        </w:rPr>
        <w:t>Diapositiva 13 – Conclusiones y próximos pasos</w:t>
      </w:r>
    </w:p>
    <w:p>
      <w:pPr>
        <w:pStyle w:val="ListBullet"/>
        <w:keepLines w:val="1"/>
        <w:keepNext w:val="1"/>
        <w:widowControl w:val="1"/>
      </w:pPr>
      <w:r>
        <w:t xml:space="preserve">Síntesis: cómo los indicadores GQM + PRAGMATIC ayudan a dirigir política e inversión.  </w:t>
      </w:r>
    </w:p>
    <w:p>
      <w:pPr>
        <w:pStyle w:val="ListBullet"/>
        <w:keepLines w:val="1"/>
        <w:keepNext w:val="1"/>
        <w:widowControl w:val="1"/>
      </w:pPr>
      <w:r>
        <w:t xml:space="preserve">Propuesta de repetir encuesta/mediciones periódicamente (cada 1–2 años).  </w:t>
      </w:r>
    </w:p>
    <w:p>
      <w:pPr>
        <w:pStyle w:val="ListBullet"/>
        <w:keepLines w:val="1"/>
        <w:widowControl w:val="1"/>
      </w:pPr>
      <w:r>
        <w:t>Llamada a la coordinación entre administraciones, reguladores, sectores críticos y sociedad.</w:t>
      </w:r>
    </w:p>
    <w:p>
      <w:r>
        <w:t>Esta estructura puede adaptarse a informes sectoriales (salud, energía, finanzas) o a presentaciones específicas para un organismo concreto, manteniendo la lógica GQM +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