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GRC de Ciberseguridad en España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El kit incluye:</w:t>
      </w:r>
    </w:p>
    <w:p>
      <w:pPr>
        <w:pStyle w:val="ListBullet"/>
        <w:keepLines w:val="1"/>
        <w:keepNext w:val="1"/>
        <w:widowControl w:val="1"/>
      </w:pPr>
      <w:r>
        <w:t xml:space="preserve">encuesta_grc.md – Modelo de encuesta integral GRC.  </w:t>
      </w:r>
    </w:p>
    <w:p>
      <w:pPr>
        <w:pStyle w:val="ListBullet"/>
        <w:keepLines w:val="1"/>
        <w:keepNext w:val="1"/>
        <w:widowControl w:val="1"/>
      </w:pPr>
      <w:r>
        <w:t xml:space="preserve">guia_metodologica_grc.md – Guía metodológica para diseño, aplicación y análisis.  </w:t>
      </w:r>
    </w:p>
    <w:p>
      <w:pPr>
        <w:pStyle w:val="ListBullet"/>
        <w:keepLines w:val="1"/>
        <w:keepNext w:val="1"/>
        <w:widowControl w:val="1"/>
      </w:pPr>
      <w:r>
        <w:t xml:space="preserve">narrativa_grc.md – Narrativa explicativa para contextualizar y comunicar resultados.  </w:t>
      </w:r>
    </w:p>
    <w:p>
      <w:pPr>
        <w:pStyle w:val="ListBullet"/>
        <w:keepLines w:val="1"/>
        <w:keepNext w:val="1"/>
        <w:widowControl w:val="1"/>
      </w:pPr>
      <w:r>
        <w:t xml:space="preserve">mapeo_normativo_grc.md – Tabla de mapeo de preguntas a marcos normativos.  </w:t>
      </w:r>
    </w:p>
    <w:p>
      <w:pPr>
        <w:pStyle w:val="ListBullet"/>
        <w:keepLines w:val="1"/>
        <w:keepNext w:val="1"/>
        <w:widowControl w:val="1"/>
      </w:pPr>
      <w:r>
        <w:t xml:space="preserve">plantilla_igm_roi.md – Especificación de plantilla Excel para IGM y ROI.  </w:t>
      </w:r>
    </w:p>
    <w:p>
      <w:pPr>
        <w:pStyle w:val="ListBullet"/>
        <w:keepLines w:val="1"/>
        <w:widowControl w:val="1"/>
      </w:pPr>
      <w:r>
        <w:t>plantilla_reporte_ejecutivo.md – Estructura tipo PowerPoint para reporte a dirección.</w:t>
      </w:r>
    </w:p>
    <w:p>
      <w:pPr>
        <w:pStyle w:val="Heading2"/>
        <w:keepNext/>
        <w:keepLines/>
      </w:pPr>
      <w:r>
        <w:rPr>
          <w:color w:val="0066CC"/>
        </w:rPr>
        <w:t>2. Objetivo del kit</w:t>
      </w:r>
    </w:p>
    <w:p>
      <w:r>
        <w:t>Proporcionar un paquete coherente para:</w:t>
      </w:r>
    </w:p>
    <w:p>
      <w:pPr>
        <w:pStyle w:val="ListBullet"/>
        <w:keepLines w:val="1"/>
        <w:keepNext w:val="1"/>
        <w:widowControl w:val="1"/>
      </w:pPr>
      <w:r>
        <w:t xml:space="preserve">Diseñar y desplegar una encuesta GRC de ciberseguridad a organizaciones españolas.  </w:t>
      </w:r>
    </w:p>
    <w:p>
      <w:pPr>
        <w:pStyle w:val="ListBullet"/>
        <w:keepLines w:val="1"/>
        <w:keepNext w:val="1"/>
        <w:widowControl w:val="1"/>
      </w:pPr>
      <w:r>
        <w:t xml:space="preserve">Recoger datos comparables sobre madurez de gobernanza, riesgo y cumplimiento.  </w:t>
      </w:r>
    </w:p>
    <w:p>
      <w:pPr>
        <w:pStyle w:val="ListBullet"/>
        <w:keepLines w:val="1"/>
        <w:keepNext w:val="1"/>
        <w:widowControl w:val="1"/>
      </w:pPr>
      <w:r>
        <w:t xml:space="preserve">Facilitar el análisis, cálculo de IGM y aproximaciones de ROI.  </w:t>
      </w:r>
    </w:p>
    <w:p>
      <w:pPr>
        <w:pStyle w:val="ListBullet"/>
        <w:keepLines w:val="1"/>
        <w:widowControl w:val="1"/>
      </w:pPr>
      <w:r>
        <w:t>Comunicar los resultados a órganos de gobierno, reguladores y otros grupos de interés.</w:t>
      </w:r>
    </w:p>
    <w:p>
      <w:pPr>
        <w:pStyle w:val="Heading2"/>
        <w:keepNext/>
        <w:keepLines/>
      </w:pPr>
      <w:r>
        <w:rPr>
          <w:color w:val="0066CC"/>
        </w:rPr>
        <w:t>3. Cómo utilizar cada componente</w:t>
      </w:r>
    </w:p>
    <w:p>
      <w:pPr>
        <w:pStyle w:val="ListNumber"/>
        <w:keepLines w:val="1"/>
        <w:keepNext w:val="1"/>
        <w:widowControl w:val="1"/>
      </w:pPr>
      <w:r>
        <w:t xml:space="preserve">Encuesta: adaptar el modelo a la realidad sectorial, revisar terminología y publicar en la herramienta elegida.  </w:t>
      </w:r>
    </w:p>
    <w:p>
      <w:pPr>
        <w:pStyle w:val="ListNumber"/>
        <w:keepLines w:val="1"/>
        <w:keepNext w:val="1"/>
        <w:widowControl w:val="1"/>
      </w:pPr>
      <w:r>
        <w:t xml:space="preserve">Guía metodológica: usar como referencia para definir muestras, ponderaciones y tratamiento estadístico.  </w:t>
      </w:r>
    </w:p>
    <w:p>
      <w:pPr>
        <w:pStyle w:val="ListNumber"/>
        <w:keepLines w:val="1"/>
        <w:keepNext w:val="1"/>
        <w:widowControl w:val="1"/>
      </w:pPr>
      <w:r>
        <w:t xml:space="preserve">Narrativa: servir como base para presentaciones, informes y materiales de sensibilización interna.  </w:t>
      </w:r>
    </w:p>
    <w:p>
      <w:pPr>
        <w:pStyle w:val="ListNumber"/>
        <w:keepLines w:val="1"/>
        <w:keepNext w:val="1"/>
        <w:widowControl w:val="1"/>
      </w:pPr>
      <w:r>
        <w:t xml:space="preserve">Mapeo normativo: vincular los resultados a programas de cumplimiento y planes de auditoría.  </w:t>
      </w:r>
    </w:p>
    <w:p>
      <w:pPr>
        <w:pStyle w:val="ListNumber"/>
        <w:keepLines w:val="1"/>
        <w:keepNext w:val="1"/>
        <w:widowControl w:val="1"/>
      </w:pPr>
      <w:r>
        <w:t xml:space="preserve">Plantilla IGM/ROI: implementar en Excel, ajustando pesos y supuestos según el contexto.  </w:t>
      </w:r>
    </w:p>
    <w:p>
      <w:pPr>
        <w:pStyle w:val="ListNumber"/>
        <w:keepLines w:val="1"/>
        <w:widowControl w:val="1"/>
      </w:pPr>
      <w:r>
        <w:t>Plantilla de reporte ejecutivo: estructurar mensajes para comités de dirección y consejos.</w:t>
      </w:r>
    </w:p>
    <w:p>
      <w:pPr>
        <w:pStyle w:val="Heading2"/>
        <w:keepNext/>
        <w:keepLines/>
      </w:pPr>
      <w:r>
        <w:rPr>
          <w:color w:val="0066CC"/>
        </w:rPr>
        <w:t>4. Actualización y versiones</w:t>
      </w:r>
    </w:p>
    <w:p>
      <w:r>
        <w:t>Los marcos normativos y las amenazas evolucionan, así que el kit debe revisarse periódicamente:</w:t>
      </w:r>
    </w:p>
    <w:p>
      <w:pPr>
        <w:pStyle w:val="ListBullet"/>
        <w:keepLines w:val="1"/>
        <w:keepNext w:val="1"/>
        <w:widowControl w:val="1"/>
      </w:pPr>
      <w:r>
        <w:t xml:space="preserve">Revisión recomendada: anual o tras cambios relevantes en NIS2, DORA, ENS, etc.[web:9][web:12][web:5]  </w:t>
      </w:r>
    </w:p>
    <w:p>
      <w:pPr>
        <w:pStyle w:val="ListBullet"/>
        <w:keepLines w:val="1"/>
        <w:widowControl w:val="1"/>
      </w:pPr>
      <w:r>
        <w:t>Control de versiones: mantener un registro de cambios (changelog) con fecha y responsable.</w:t>
      </w:r>
    </w:p>
    <w:p>
      <w:pPr>
        <w:pStyle w:val="Heading2"/>
        <w:keepNext/>
        <w:keepLines/>
      </w:pPr>
      <w:r>
        <w:rPr>
          <w:color w:val="0066CC"/>
        </w:rPr>
        <w:t>5. Licencia y uso</w:t>
      </w:r>
    </w:p>
    <w:p>
      <w:r>
        <w:t>El kit está pensado para uso libre dentro de organizaciones, consorcios sectoriales y administraciones públicas. Cada usuario es responsable de:</w:t>
      </w:r>
    </w:p>
    <w:p>
      <w:pPr>
        <w:pStyle w:val="ListBullet"/>
        <w:keepLines w:val="1"/>
        <w:keepNext w:val="1"/>
        <w:widowControl w:val="1"/>
      </w:pPr>
      <w:r>
        <w:t xml:space="preserve">Ajustar el contenido a sus necesidades específicas.  </w:t>
      </w:r>
    </w:p>
    <w:p>
      <w:pPr>
        <w:pStyle w:val="ListBullet"/>
        <w:keepLines w:val="1"/>
        <w:keepNext w:val="1"/>
        <w:widowControl w:val="1"/>
      </w:pPr>
      <w:r>
        <w:t xml:space="preserve">Asegurar que el uso de los resultados respeta la confidencialidad y la normativa vigente (incluyendo protección de datos).  </w:t>
      </w:r>
    </w:p>
    <w:p>
      <w:pPr>
        <w:pStyle w:val="ListBullet"/>
        <w:keepLines w:val="1"/>
        <w:widowControl w:val="1"/>
      </w:pPr>
      <w:r>
        <w:t>Evitar la tentación de utilizar el IGM como arma arrojadiza entre departamentos.</w:t>
      </w:r>
    </w:p>
    <w:p>
      <w:pPr>
        <w:pStyle w:val="Heading2"/>
        <w:keepNext/>
        <w:keepLines/>
      </w:pPr>
      <w:r>
        <w:rPr>
          <w:color w:val="0066CC"/>
        </w:rPr>
        <w:t>6. Contacto y contribuciones</w:t>
      </w:r>
    </w:p>
    <w:p>
      <w:r>
        <w:t>Se recomienda establecer un punto de contacto (equipo de GRC o comité de ciberseguridad) para:</w:t>
      </w:r>
    </w:p>
    <w:p>
      <w:pPr>
        <w:pStyle w:val="ListBullet"/>
        <w:keepLines w:val="1"/>
        <w:keepNext w:val="1"/>
        <w:widowControl w:val="1"/>
      </w:pPr>
      <w:r>
        <w:t xml:space="preserve">Resolver dudas sobre la aplicación de la encuesta.  </w:t>
      </w:r>
    </w:p>
    <w:p>
      <w:pPr>
        <w:pStyle w:val="ListBullet"/>
        <w:keepLines w:val="1"/>
        <w:keepNext w:val="1"/>
        <w:widowControl w:val="1"/>
      </w:pPr>
      <w:r>
        <w:t xml:space="preserve">Recoger sugerencias de mejora.  </w:t>
      </w:r>
    </w:p>
    <w:p>
      <w:pPr>
        <w:pStyle w:val="ListBullet"/>
        <w:keepLines w:val="1"/>
        <w:widowControl w:val="1"/>
      </w:pPr>
      <w:r>
        <w:t>Coordinar nuevas versiones y ampliaciones.</w:t>
      </w:r>
    </w:p>
    <w:p>
      <w:r>
        <w:t>Si el kit sirve para mejorar la conversación entre negocio, tecnología y reguladores, habrá cumplido con creces su misión. El resto —como casi siempre en ciberseguridad— será cuestión de gobernanza, prioridades y un cierto gusto por medir las cosas aunque los resultados no sean siempre halagadores.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