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3266E" w14:textId="77777777" w:rsidR="00AE0E1D" w:rsidRPr="008C503E" w:rsidRDefault="00000000">
      <w:pPr>
        <w:pStyle w:val="Ttulo1"/>
        <w:rPr>
          <w:lang w:val="es-ES"/>
        </w:rPr>
      </w:pPr>
      <w:r w:rsidRPr="008C503E">
        <w:rPr>
          <w:color w:val="003366"/>
          <w:lang w:val="es-ES"/>
        </w:rPr>
        <w:t>Informe GRC.</w:t>
      </w:r>
    </w:p>
    <w:p w14:paraId="2DC6017C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 xml:space="preserve">El informe GRC de ciberseguridad que planteas, aplicado a </w:t>
      </w:r>
      <w:proofErr w:type="gramStart"/>
      <w:r w:rsidRPr="008C503E">
        <w:rPr>
          <w:lang w:val="es-ES"/>
        </w:rPr>
        <w:t>España</w:t>
      </w:r>
      <w:proofErr w:type="gramEnd"/>
      <w:r w:rsidRPr="008C503E">
        <w:rPr>
          <w:lang w:val="es-ES"/>
        </w:rPr>
        <w:t xml:space="preserve"> pero con vocación comparada, hoy se escribe —para bien o para susto— con un idioma muy claro: métricas, indicadores y cuadros de mando que ya no se conforman con contar “cuántos incidentes hubo”, sino que pretenden medir madurez sistémica, alineamiento regulatorio y resiliencia socio‑técnica a escala país. Voy a estructurar la respuesta en torno a los grandes bloques de GRC (Gobernanza, Riesgo, Cumplimiento), aterrizando en indicadores concretos y en cómo se están viendo en España en el contexto europeo y global desde 2025.</w:t>
      </w:r>
      <w:r>
        <w:footnoteReference w:id="1"/>
      </w:r>
      <w:r>
        <w:footnoteReference w:id="2"/>
      </w:r>
    </w:p>
    <w:p w14:paraId="2033BC61" w14:textId="77777777" w:rsidR="00AE0E1D" w:rsidRPr="008C503E" w:rsidRDefault="00000000">
      <w:pPr>
        <w:pStyle w:val="Ttulo2"/>
        <w:rPr>
          <w:lang w:val="es-ES"/>
        </w:rPr>
      </w:pPr>
      <w:r w:rsidRPr="008C503E">
        <w:rPr>
          <w:color w:val="0066CC"/>
          <w:lang w:val="es-ES"/>
        </w:rPr>
        <w:t>1. Contexto 2025–2026: el nuevo “idioma” de las métricas país</w:t>
      </w:r>
    </w:p>
    <w:p w14:paraId="7BCE8FE7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Desde 2025, el debate serio sobre indicadores GRC de ciberseguridad a nivel nacional se ha desplazado desde el recuento de incidentes hacia tres obsesiones: medir madurez, medir criticidad sectorial y medir preparación frente a nuevas tecnologías (nube, 5G, IA, cuántica). ENISA con su marco NIS360, NIST con la extensión de la función “</w:t>
      </w:r>
      <w:proofErr w:type="spellStart"/>
      <w:r w:rsidRPr="008C503E">
        <w:rPr>
          <w:lang w:val="es-ES"/>
        </w:rPr>
        <w:t>Govern</w:t>
      </w:r>
      <w:proofErr w:type="spellEnd"/>
      <w:r w:rsidRPr="008C503E">
        <w:rPr>
          <w:lang w:val="es-ES"/>
        </w:rPr>
        <w:t xml:space="preserve">” en el CSF, y los índices industriales (por ejemplo, el Cisco </w:t>
      </w:r>
      <w:proofErr w:type="spellStart"/>
      <w:r w:rsidRPr="008C503E">
        <w:rPr>
          <w:lang w:val="es-ES"/>
        </w:rPr>
        <w:t>Cybersecurity</w:t>
      </w:r>
      <w:proofErr w:type="spellEnd"/>
      <w:r w:rsidRPr="008C503E">
        <w:rPr>
          <w:lang w:val="es-ES"/>
        </w:rPr>
        <w:t xml:space="preserve"> </w:t>
      </w:r>
      <w:proofErr w:type="spellStart"/>
      <w:r w:rsidRPr="008C503E">
        <w:rPr>
          <w:lang w:val="es-ES"/>
        </w:rPr>
        <w:t>Readiness</w:t>
      </w:r>
      <w:proofErr w:type="spellEnd"/>
      <w:r w:rsidRPr="008C503E">
        <w:rPr>
          <w:lang w:val="es-ES"/>
        </w:rPr>
        <w:t xml:space="preserve"> </w:t>
      </w:r>
      <w:proofErr w:type="spellStart"/>
      <w:r w:rsidRPr="008C503E">
        <w:rPr>
          <w:lang w:val="es-ES"/>
        </w:rPr>
        <w:t>Index</w:t>
      </w:r>
      <w:proofErr w:type="spellEnd"/>
      <w:r w:rsidRPr="008C503E">
        <w:rPr>
          <w:lang w:val="es-ES"/>
        </w:rPr>
        <w:t>) son los grandes fabricantes de este idioma común.</w:t>
      </w:r>
      <w:r>
        <w:footnoteReference w:id="3"/>
      </w:r>
      <w:r>
        <w:footnoteReference w:id="4"/>
      </w:r>
      <w:r>
        <w:footnoteReference w:id="5"/>
      </w:r>
      <w:r>
        <w:footnoteReference w:id="6"/>
      </w:r>
    </w:p>
    <w:p w14:paraId="3E7399BD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España, este cambio se injerta sobre una estrategia ya relativamente consolidada: Estrategia Nacional de Ciberseguridad, Plan Nacional de Ciberseguridad, España Digital 2025 y la revisión en marcha hacia 2026, más la adaptación a NIS2, DORA y al “Digital Decade Country Report” de la Comisión. El resultado es que los indicadores GRC “nacionales” ya no se discuten solo en INCIBE o CCN, sino que empiezan a cruzarse con indicadores de política industrial, empleo digital y resiliencia de servicios esenciales.</w:t>
      </w:r>
      <w:r>
        <w:footnoteReference w:id="7"/>
      </w:r>
      <w:r>
        <w:footnoteReference w:id="8"/>
      </w:r>
      <w:r>
        <w:footnoteReference w:id="9"/>
      </w:r>
      <w:r>
        <w:footnoteReference w:id="10"/>
      </w:r>
    </w:p>
    <w:p w14:paraId="73DDB50F" w14:textId="77777777" w:rsidR="00AE0E1D" w:rsidRPr="008C503E" w:rsidRDefault="00000000">
      <w:pPr>
        <w:pStyle w:val="Ttulo2"/>
        <w:rPr>
          <w:lang w:val="es-ES"/>
        </w:rPr>
      </w:pPr>
      <w:r w:rsidRPr="008C503E">
        <w:rPr>
          <w:color w:val="0066CC"/>
          <w:lang w:val="es-ES"/>
        </w:rPr>
        <w:lastRenderedPageBreak/>
        <w:t>2. Gobernanza: del “PowerPoint estratégico” al indicador duro</w:t>
      </w:r>
    </w:p>
    <w:p w14:paraId="1B77F2A4" w14:textId="77777777" w:rsidR="00AE0E1D" w:rsidRDefault="00000000">
      <w:r w:rsidRPr="008C503E">
        <w:rPr>
          <w:lang w:val="es-ES"/>
        </w:rPr>
        <w:t xml:space="preserve">En la dimensión de Gobernanza, la tendencia global desde 2025 es introducir métricas que ya no hablan de buena voluntad, sino de estructuras efectivas y trazables de responsabilidad, supervisión y coordinación interinstitucional. </w:t>
      </w:r>
      <w:r>
        <w:t>Los marcos de referencia son claros:</w:t>
      </w:r>
      <w:r>
        <w:footnoteReference w:id="11"/>
      </w:r>
      <w:r>
        <w:footnoteReference w:id="12"/>
      </w:r>
    </w:p>
    <w:p w14:paraId="63A45086" w14:textId="77777777" w:rsidR="00AE0E1D" w:rsidRPr="008C503E" w:rsidRDefault="00000000">
      <w:pPr>
        <w:pStyle w:val="Listaconnmeros"/>
        <w:keepNext/>
        <w:keepLines/>
        <w:rPr>
          <w:lang w:val="es-ES"/>
        </w:rPr>
      </w:pPr>
      <w:r w:rsidRPr="008C503E">
        <w:rPr>
          <w:lang w:val="es-ES"/>
        </w:rPr>
        <w:t>NIST Cybersecurity Framework 2.0 incorpora de forma explícita la función “Govern”, que exige mostrar evidencias de gobernanza (políticas, roles, apetito de riesgo, supervisión, métricas de rendimiento y de riesgo).94</w:t>
      </w:r>
    </w:p>
    <w:p w14:paraId="31B20171" w14:textId="77777777" w:rsidR="00AE0E1D" w:rsidRPr="008C503E" w:rsidRDefault="00000000">
      <w:pPr>
        <w:pStyle w:val="Listaconnmeros"/>
        <w:keepNext/>
        <w:keepLines/>
        <w:rPr>
          <w:lang w:val="es-ES"/>
        </w:rPr>
      </w:pPr>
      <w:r w:rsidRPr="008C503E">
        <w:rPr>
          <w:lang w:val="es-ES"/>
        </w:rPr>
        <w:t>ENISA, a través de NIS2 y NIS360, empuja a los Estados miembros a medir madurez sectorial, criticidad y brecha entre ambas, con indicadores estructurados que permiten comparaciones directas entre países y sectores.21</w:t>
      </w:r>
    </w:p>
    <w:p w14:paraId="14EE20F3" w14:textId="77777777" w:rsidR="00AE0E1D" w:rsidRPr="008C503E" w:rsidRDefault="00000000">
      <w:pPr>
        <w:pStyle w:val="Listaconnmeros"/>
        <w:keepLines/>
        <w:rPr>
          <w:lang w:val="es-ES"/>
        </w:rPr>
      </w:pPr>
      <w:r w:rsidRPr="008C503E">
        <w:rPr>
          <w:lang w:val="es-ES"/>
        </w:rPr>
        <w:t>La Comisión Europea, con los informes “Digital Decade Country Report 2025”, obliga a los Estados a rendir cuentas sobre capacidades digitales, incluyendo ciberseguridad, como parte de los indicadores de la Década Digital.5</w:t>
      </w:r>
    </w:p>
    <w:p w14:paraId="0E72B60A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España, estos marcos se traducen en varios tipos de indicadores de gobernanza a nivel nacional:</w:t>
      </w:r>
    </w:p>
    <w:p w14:paraId="61BE541B" w14:textId="77777777" w:rsidR="00AE0E1D" w:rsidRPr="008C503E" w:rsidRDefault="00000000">
      <w:pPr>
        <w:pStyle w:val="Listaconvietas"/>
        <w:keepNext/>
        <w:keepLines/>
        <w:rPr>
          <w:lang w:val="es-ES"/>
        </w:rPr>
      </w:pPr>
      <w:r w:rsidRPr="008C503E">
        <w:rPr>
          <w:lang w:val="es-ES"/>
        </w:rPr>
        <w:t>Estado de la arquitectura institucional: existencia de un marco legal y organizativo “robusto” y reconocido, con agencias claras (INCIBE, CCN, Mando Conjunto del Ciberespacio, Agencia de Ciberseguridad de referencia).8</w:t>
      </w:r>
    </w:p>
    <w:p w14:paraId="5DAD6BAB" w14:textId="77777777" w:rsidR="00AE0E1D" w:rsidRPr="008C503E" w:rsidRDefault="00000000">
      <w:pPr>
        <w:pStyle w:val="Listaconvietas"/>
        <w:keepNext/>
        <w:keepLines/>
        <w:rPr>
          <w:lang w:val="es-ES"/>
        </w:rPr>
      </w:pPr>
      <w:r w:rsidRPr="008C503E">
        <w:rPr>
          <w:lang w:val="es-ES"/>
        </w:rPr>
        <w:t>Nivel de coordinación y centralización: creación del Centro Nacional de Ciberseguridad adscrito a Presidencia, que busca integrar visión estratégica, inteligencia y coordinación operativa.8</w:t>
      </w:r>
    </w:p>
    <w:p w14:paraId="6108737C" w14:textId="77777777" w:rsidR="00AE0E1D" w:rsidRPr="008C503E" w:rsidRDefault="00000000">
      <w:pPr>
        <w:pStyle w:val="Listaconvietas"/>
        <w:keepLines/>
        <w:rPr>
          <w:lang w:val="es-ES"/>
        </w:rPr>
      </w:pPr>
      <w:r w:rsidRPr="008C503E">
        <w:rPr>
          <w:lang w:val="es-ES"/>
        </w:rPr>
        <w:t>Integración en el marco europeo e internacional: clasificación de España como país TIER 1 en el Global Cybersecurity Index de la UIT y alineamiento con NIS2, DORA y el resto de paquetes digitales de la UE.28</w:t>
      </w:r>
    </w:p>
    <w:p w14:paraId="1C433943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Un ejemplo de cómo estos indicadores se miden en la práctica es la forma en que ENISA presenta las evaluaciones de madurez NIS360: se asigna una puntuación de madurez y una de criticidad a cada sector (energía, banca, salud, telecomunicaciones), y a partir de ahí se define una “zona de riesgo” donde la criticidad nacional supera la madurez de ciberseguridad. Esto no es una simple foto, sino un mapa de gobernanza: indica dónde el Estado tiene la obligación de intensificar supervisión, inversión y coordinación.</w:t>
      </w:r>
      <w:r>
        <w:footnoteReference w:id="13"/>
      </w:r>
      <w:r>
        <w:footnoteReference w:id="14"/>
      </w:r>
    </w:p>
    <w:p w14:paraId="59F87151" w14:textId="77777777" w:rsidR="00AE0E1D" w:rsidRPr="008C503E" w:rsidRDefault="00000000">
      <w:pPr>
        <w:pStyle w:val="Ttulo3"/>
        <w:rPr>
          <w:lang w:val="es-ES"/>
        </w:rPr>
      </w:pPr>
      <w:r w:rsidRPr="008C503E">
        <w:rPr>
          <w:lang w:val="es-ES"/>
        </w:rPr>
        <w:lastRenderedPageBreak/>
        <w:t>Tabla: ejemplos de indicadores de gobernanza a nivel país (España vs. enfoque global)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3"/>
        <w:gridCol w:w="3114"/>
        <w:gridCol w:w="3113"/>
      </w:tblGrid>
      <w:tr w:rsidR="00AE0E1D" w14:paraId="606B4EF2" w14:textId="77777777" w:rsidTr="00AE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2B201030" w14:textId="77777777" w:rsidR="00AE0E1D" w:rsidRDefault="00000000">
            <w:pPr>
              <w:keepNext/>
              <w:keepLines/>
            </w:pPr>
            <w:r>
              <w:rPr>
                <w:color w:val="FFFFFF"/>
              </w:rPr>
              <w:t>Dimensión</w:t>
            </w:r>
          </w:p>
        </w:tc>
        <w:tc>
          <w:tcPr>
            <w:tcW w:w="3120" w:type="dxa"/>
            <w:shd w:val="clear" w:color="auto" w:fill="0033CC"/>
          </w:tcPr>
          <w:p w14:paraId="0819BA29" w14:textId="77777777" w:rsidR="00AE0E1D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España (ejemplos recientes)</w:t>
            </w:r>
          </w:p>
        </w:tc>
        <w:tc>
          <w:tcPr>
            <w:tcW w:w="3120" w:type="dxa"/>
            <w:shd w:val="clear" w:color="auto" w:fill="0033CC"/>
          </w:tcPr>
          <w:p w14:paraId="5E077DA0" w14:textId="77777777" w:rsidR="00AE0E1D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Tendencia global post‑2025</w:t>
            </w:r>
          </w:p>
        </w:tc>
      </w:tr>
      <w:tr w:rsidR="00AE0E1D" w:rsidRPr="008C503E" w14:paraId="76925DE8" w14:textId="77777777" w:rsidTr="00AE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C0825E" w14:textId="77777777" w:rsidR="00AE0E1D" w:rsidRDefault="00000000">
            <w:pPr>
              <w:keepNext/>
              <w:keepLines/>
            </w:pPr>
            <w:r>
              <w:t>Marco institucional</w:t>
            </w:r>
          </w:p>
        </w:tc>
        <w:tc>
          <w:tcPr>
            <w:tcW w:w="3120" w:type="dxa"/>
          </w:tcPr>
          <w:p w14:paraId="67560B91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INCIBE, CCN, Mando Conjunto, creación Centro Nacional de Ciberseguridad.8</w:t>
            </w:r>
          </w:p>
        </w:tc>
        <w:tc>
          <w:tcPr>
            <w:tcW w:w="3120" w:type="dxa"/>
          </w:tcPr>
          <w:p w14:paraId="6B069516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Consolidación de “National Cybersecurity Centers” como nodo único de coordinación.1</w:t>
            </w:r>
          </w:p>
        </w:tc>
      </w:tr>
      <w:tr w:rsidR="00AE0E1D" w:rsidRPr="008C503E" w14:paraId="7075AD55" w14:textId="77777777" w:rsidTr="00AE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29834B" w14:textId="77777777" w:rsidR="00AE0E1D" w:rsidRDefault="00000000">
            <w:pPr>
              <w:keepNext/>
              <w:keepLines/>
            </w:pPr>
            <w:r>
              <w:t>Clasificación internacional</w:t>
            </w:r>
          </w:p>
        </w:tc>
        <w:tc>
          <w:tcPr>
            <w:tcW w:w="3120" w:type="dxa"/>
          </w:tcPr>
          <w:p w14:paraId="1B9EB162" w14:textId="77777777" w:rsidR="00AE0E1D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TIER 1 en Global Cybersecurity Index UIT.8</w:t>
            </w:r>
          </w:p>
        </w:tc>
        <w:tc>
          <w:tcPr>
            <w:tcW w:w="3120" w:type="dxa"/>
          </w:tcPr>
          <w:p w14:paraId="3207CDFA" w14:textId="77777777" w:rsidR="00AE0E1D" w:rsidRPr="008C503E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Uso de GCI, NIS360 y otros índices para benchmarking entre países.2</w:t>
            </w:r>
          </w:p>
        </w:tc>
      </w:tr>
      <w:tr w:rsidR="00AE0E1D" w:rsidRPr="008C503E" w14:paraId="6CC5CF0F" w14:textId="77777777" w:rsidTr="00AE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879AF3" w14:textId="77777777" w:rsidR="00AE0E1D" w:rsidRDefault="00000000">
            <w:pPr>
              <w:keepLines/>
            </w:pPr>
            <w:r>
              <w:t>Estrategia nacional</w:t>
            </w:r>
          </w:p>
        </w:tc>
        <w:tc>
          <w:tcPr>
            <w:tcW w:w="3120" w:type="dxa"/>
          </w:tcPr>
          <w:p w14:paraId="06504CE6" w14:textId="77777777" w:rsidR="00AE0E1D" w:rsidRPr="008C503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Revisión de Estrategia Nacional de Ciberseguridad integrada en España Digital 2026.87</w:t>
            </w:r>
          </w:p>
        </w:tc>
        <w:tc>
          <w:tcPr>
            <w:tcW w:w="3120" w:type="dxa"/>
          </w:tcPr>
          <w:p w14:paraId="51A2C754" w14:textId="77777777" w:rsidR="00AE0E1D" w:rsidRPr="008C503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Estrategias revisadas para incorporar NIS2, IA, cuántica y resiliencia crítica.1</w:t>
            </w:r>
          </w:p>
        </w:tc>
      </w:tr>
    </w:tbl>
    <w:p w14:paraId="7BA561B7" w14:textId="77777777" w:rsidR="00AE0E1D" w:rsidRPr="008C503E" w:rsidRDefault="00AE0E1D">
      <w:pPr>
        <w:rPr>
          <w:lang w:val="es-ES"/>
        </w:rPr>
      </w:pPr>
    </w:p>
    <w:p w14:paraId="12A29FA5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La ironía inevitable es que medimos la “buena gobernanza” a golpe de PDF y tabla comparativa, pero la verdadera métrica de gobernanza, por incómodo que resulte, sigue siendo cuántas decisiones difíciles está dispuesto a asumir un gobierno cuando toca cerrar sistemas, sancionar operadores díscolos o invertir donde no da votos.</w:t>
      </w:r>
    </w:p>
    <w:p w14:paraId="03D341A8" w14:textId="77777777" w:rsidR="00AE0E1D" w:rsidRPr="008C503E" w:rsidRDefault="00000000">
      <w:pPr>
        <w:pStyle w:val="Ttulo2"/>
        <w:rPr>
          <w:lang w:val="es-ES"/>
        </w:rPr>
      </w:pPr>
      <w:r w:rsidRPr="008C503E">
        <w:rPr>
          <w:color w:val="0066CC"/>
          <w:lang w:val="es-ES"/>
        </w:rPr>
        <w:t>3. Riesgo: de contar incidentes a modelar madurez y criticidad</w:t>
      </w:r>
    </w:p>
    <w:p w14:paraId="5A8A6CCC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la dimensión de Riesgo, el gran giro desde 2025 es el paso desde indicadores puramente incidentales (número de ataques, tipos, sectores) hacia indicadores que combinan probabilidad, impacto y madurez de control, muchas veces con un enfoque “actuarial” todavía en pañales pero cada vez más explícito.</w:t>
      </w:r>
    </w:p>
    <w:p w14:paraId="0B7CB2BE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ENISA NIS360 ejemplifica esta tendencia: el informe evalúa los sectores cubiertos por NIS2 en dos ejes—criticidad (importancia para el funcionamiento de la sociedad y la economía) y madurez de ciberseguridad (nivel de capacidades, controles, gobernanza)—y define una “risk zone” cuando la criticidad supera la madurez. Sectores como la gestión de servicios TIC, ciertos servicios digitales y algunos segmentos industriales aparecen repetidamente en esta zona, lo que implica una priorización política y presupuestaria inmediata.</w:t>
      </w:r>
      <w:r>
        <w:footnoteReference w:id="15"/>
      </w:r>
      <w:r>
        <w:footnoteReference w:id="16"/>
      </w:r>
    </w:p>
    <w:p w14:paraId="49E1D453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España, como Estado miembro, no aparece aislada, sino integrada en estas métricas europeas: sus operadores esenciales y entidades importantes deberán alinearse con NIS2 y, por extensión, sus indicadores de riesgo se harán visibles a través de este tipo de mecanismos. Además, el propio Gobierno reconoce el crecimiento sostenido de los ataques: un aumento del 300% desde 2015 y más de 100.000 ciberataques en 2024, con un incidente “muy grave” cada tres días, lo que sirve de indicador bruto pero contundente del riesgo agregado país.</w:t>
      </w:r>
      <w:r>
        <w:footnoteReference w:id="17"/>
      </w:r>
      <w:r>
        <w:footnoteReference w:id="18"/>
      </w:r>
      <w:r>
        <w:footnoteReference w:id="19"/>
      </w:r>
    </w:p>
    <w:p w14:paraId="779B61EB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lastRenderedPageBreak/>
        <w:t>A nivel industrial, informes como el Cisco Cybersecurity Readiness Index 2025 introducen otro tipo de métrica relevante para el riesgo nacional: el porcentaje de organizaciones en cada nivel de preparación (Beginner, Formative, Progressive, Mature) en dominios como identidad, puntos finales, redes, aplicaciones y datos. En el caso de España, el informe señala un retroceso en la resiliencia de red, con un desplazamiento desde categorías más maduras hacia niveles formativos, lo que sugiere que, pese a los avances estratégicos, ciertas capacidades técnicas sufren por complejidad, deuda técnica o falta de talento.</w:t>
      </w:r>
      <w:r>
        <w:footnoteReference w:id="20"/>
      </w:r>
    </w:p>
    <w:p w14:paraId="1F08788C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La lectura actuarial de todo esto es clara: los Estados empiezan a disponer de suficientes indicadores para construir funciones de pérdida esperada, escenarios de estrés y curvas de decaimiento de madurez si no se invierte de forma sostenida. La parte que todavía da pudor reconocer es que, a día de hoy, la mayoría de los modelos nacionales siguen siendo más un conjunto de proxies estadísticos que una auténtica modelización de riesgo al estilo de los seguros o la banca.</w:t>
      </w:r>
    </w:p>
    <w:p w14:paraId="23055639" w14:textId="77777777" w:rsidR="00AE0E1D" w:rsidRPr="008C503E" w:rsidRDefault="00000000">
      <w:pPr>
        <w:pStyle w:val="Ttulo3"/>
        <w:rPr>
          <w:lang w:val="es-ES"/>
        </w:rPr>
      </w:pPr>
      <w:r w:rsidRPr="008C503E">
        <w:rPr>
          <w:lang w:val="es-ES"/>
        </w:rPr>
        <w:t>Tabla: indicadores de riesgo clave en 2025–2026</w:t>
      </w:r>
    </w:p>
    <w:p w14:paraId="1EC98780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| Tipo de indicador          | España                                                                                         | Enfoque internacional                                                                 |</w:t>
      </w:r>
      <w:r w:rsidRPr="008C503E">
        <w:rPr>
          <w:lang w:val="es-ES"/>
        </w:rPr>
        <w:br/>
        <w:t>| Incidentes                 | +100.000 ataques en 2024, un incidente muy grave cada tres días.</w:t>
      </w:r>
      <w:r>
        <w:footnoteReference w:id="21"/>
      </w:r>
      <w:r w:rsidRPr="008C503E">
        <w:rPr>
          <w:lang w:val="es-ES"/>
        </w:rPr>
        <w:t xml:space="preserve">                        | Uso de estadísticas de CERTs y CSIRTs nacionales como base mínima de riesgo.         |</w:t>
      </w:r>
      <w:r w:rsidRPr="008C503E">
        <w:rPr>
          <w:lang w:val="es-ES"/>
        </w:rPr>
        <w:br/>
        <w:t>| Madurez vs. criticidad     | Sectores españoles evaluados en el marco NIS2 y NIS360 (mapeo UE).</w:t>
      </w:r>
      <w:r>
        <w:footnoteReference w:id="22"/>
      </w:r>
      <w:r>
        <w:footnoteReference w:id="23"/>
      </w:r>
      <w:r w:rsidRPr="008C503E">
        <w:rPr>
          <w:lang w:val="es-ES"/>
        </w:rPr>
        <w:t xml:space="preserve">             | ENISA NIS360 define la “risk zone” a nivel UE.</w:t>
      </w:r>
      <w:r>
        <w:footnoteReference w:id="24"/>
      </w:r>
      <w:r w:rsidRPr="008C503E">
        <w:rPr>
          <w:lang w:val="es-ES"/>
        </w:rPr>
        <w:t xml:space="preserve">                                 |</w:t>
      </w:r>
      <w:r w:rsidRPr="008C503E">
        <w:rPr>
          <w:lang w:val="es-ES"/>
        </w:rPr>
        <w:br/>
        <w:t>| Preparación organizacional | Empresas españolas evaluadas en el Cisco Readiness Index con deterioro en resiliencia de red.</w:t>
      </w:r>
      <w:r>
        <w:footnoteReference w:id="25"/>
      </w:r>
      <w:r w:rsidRPr="008C503E">
        <w:rPr>
          <w:lang w:val="es-ES"/>
        </w:rPr>
        <w:t xml:space="preserve"> | Índices industriales globales para comparar preparación sectorial y por país.</w:t>
      </w:r>
      <w:r>
        <w:footnoteReference w:id="26"/>
      </w:r>
      <w:r w:rsidRPr="008C503E">
        <w:rPr>
          <w:lang w:val="es-ES"/>
        </w:rPr>
        <w:t xml:space="preserve"> |</w:t>
      </w:r>
    </w:p>
    <w:p w14:paraId="345FF538" w14:textId="77777777" w:rsidR="00AE0E1D" w:rsidRPr="008C503E" w:rsidRDefault="00000000">
      <w:pPr>
        <w:pStyle w:val="Ttulo2"/>
        <w:rPr>
          <w:lang w:val="es-ES"/>
        </w:rPr>
      </w:pPr>
      <w:r w:rsidRPr="008C503E">
        <w:rPr>
          <w:color w:val="0066CC"/>
          <w:lang w:val="es-ES"/>
        </w:rPr>
        <w:t>4. Cumplimiento: NIS2, DORA y la metricocracia regulatoria</w:t>
      </w:r>
    </w:p>
    <w:p w14:paraId="604F3644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 xml:space="preserve">En el campo del Cumplimiento, el periodo 2025–2026 está dominado por dos grandes fuerzas: la implementación de NIS2 y DORA en la UE, y la evolución de marcos como NIST RMF y CSF en el </w:t>
      </w:r>
      <w:r w:rsidRPr="008C503E">
        <w:rPr>
          <w:lang w:val="es-ES"/>
        </w:rPr>
        <w:lastRenderedPageBreak/>
        <w:t>mundo anglosajón. Ambas corrientes convergen en algo que los viejos GRC ya intuían: el cumplimiento no es un fin, sino una fuente de indicadores, y si no se miden bien, todo el sistema regulatorio se queda en un ejercicio litúrgico.</w:t>
      </w:r>
    </w:p>
    <w:p w14:paraId="59E1AF22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NIS2 impone a los Estados miembros la obligación de supervisar y hacer cumplir requisitos de gestión de riesgos de ciberseguridad, notificación de incidentes y gobernanza de alto nivel (incluyendo responsabilidad de la dirección). ENISA, a través de NIS360, proporciona una plantilla de indicadores que los Estados pueden usar para monitorizar el grado de cumplimiento sectorial y la efectividad de las medidas, lo que incluye:</w:t>
      </w:r>
      <w:r>
        <w:footnoteReference w:id="27"/>
      </w:r>
      <w:r>
        <w:footnoteReference w:id="28"/>
      </w:r>
    </w:p>
    <w:p w14:paraId="4208A2CA" w14:textId="77777777" w:rsidR="00AE0E1D" w:rsidRPr="008C503E" w:rsidRDefault="00000000">
      <w:pPr>
        <w:pStyle w:val="Listaconvietas"/>
        <w:keepNext/>
        <w:keepLines/>
        <w:rPr>
          <w:lang w:val="es-ES"/>
        </w:rPr>
      </w:pPr>
      <w:r w:rsidRPr="008C503E">
        <w:rPr>
          <w:lang w:val="es-ES"/>
        </w:rPr>
        <w:t>Porcentaje de entidades esenciales con planes de gestión de riesgos verificados.</w:t>
      </w:r>
    </w:p>
    <w:p w14:paraId="6059E763" w14:textId="77777777" w:rsidR="00AE0E1D" w:rsidRPr="008C503E" w:rsidRDefault="00000000">
      <w:pPr>
        <w:pStyle w:val="Listaconvietas"/>
        <w:keepNext/>
        <w:keepLines/>
        <w:rPr>
          <w:lang w:val="es-ES"/>
        </w:rPr>
      </w:pPr>
      <w:r w:rsidRPr="008C503E">
        <w:rPr>
          <w:lang w:val="es-ES"/>
        </w:rPr>
        <w:t>Tiempos de notificación de incidentes críticos.</w:t>
      </w:r>
    </w:p>
    <w:p w14:paraId="740EB028" w14:textId="77777777" w:rsidR="00AE0E1D" w:rsidRPr="008C503E" w:rsidRDefault="00000000">
      <w:pPr>
        <w:pStyle w:val="Listaconvietas"/>
        <w:keepLines/>
        <w:rPr>
          <w:lang w:val="es-ES"/>
        </w:rPr>
      </w:pPr>
      <w:r w:rsidRPr="008C503E">
        <w:rPr>
          <w:lang w:val="es-ES"/>
        </w:rPr>
        <w:t>Nivel de implantación de controles técnicos claves (segmentación, gestión de identidades, registro y monitorización).12</w:t>
      </w:r>
    </w:p>
    <w:p w14:paraId="7288DDA6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España está en pleno proceso de refuerzo regulatorio: el Gobierno ha aprobado medidas adicionales de ciberseguridad y ciberdefensa, vinculadas al Plan Nacional de Ciberseguridad y a un paquete de inversión de más de 1.157 millones de euros, con énfasis en la mejora de la protección de infraestructuras críticas y sistemas públicos. Además, España Digital 2025 fija objetivos cuantificados de digitalización de administraciones públicas (50% de servicios públicos digitalizados) y de formación de nuevos especialistas en ciberseguridad, IA y datos (20.000 nuevos profesionales), que funcionan como indicadores de capacidad futura de cumplimiento.</w:t>
      </w:r>
      <w:r>
        <w:footnoteReference w:id="29"/>
      </w:r>
      <w:r>
        <w:footnoteReference w:id="30"/>
      </w:r>
    </w:p>
    <w:p w14:paraId="07AC1189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paralelo, NIST actualiza su catálogo de controles SP 800‑53 (versión 5.2.0 en 2025) para reforzar requisitos de actualización segura y confiable, gestión de parches y otros controles que influyen directamente en indicadores de cumplimiento técnico. La Risk Management Framework (SP 800‑37) sigue proponiendo un ciclo continuo de preparar, categorizar, seleccionar, implementar, evaluar, autorizar y monitorizar, que se traduce en métricas de ciclo de vida y estado de control.</w:t>
      </w:r>
      <w:r>
        <w:footnoteReference w:id="31"/>
      </w:r>
      <w:r>
        <w:footnoteReference w:id="32"/>
      </w:r>
    </w:p>
    <w:p w14:paraId="6F295B5B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La moraleja para cualquier consorcio de CISOs y arquitectos Zero Trust con aspiraciones cuánticas es que el cumplimiento se ha convertido en una máquina de generar métricas: si se diseña bien, produce indicadores que informan el riesgo y la gobernanza; si se diseña mal, produce hojas de cálculo y migrañas.</w:t>
      </w:r>
    </w:p>
    <w:p w14:paraId="20A2A0CE" w14:textId="77777777" w:rsidR="00AE0E1D" w:rsidRPr="008C503E" w:rsidRDefault="00000000">
      <w:pPr>
        <w:pStyle w:val="Ttulo3"/>
        <w:rPr>
          <w:lang w:val="es-ES"/>
        </w:rPr>
      </w:pPr>
      <w:r w:rsidRPr="008C503E">
        <w:rPr>
          <w:lang w:val="es-ES"/>
        </w:rPr>
        <w:lastRenderedPageBreak/>
        <w:t>Tabla: ejemplos de indicadores de cumplimiento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0"/>
        <w:gridCol w:w="3116"/>
        <w:gridCol w:w="3114"/>
      </w:tblGrid>
      <w:tr w:rsidR="00AE0E1D" w14:paraId="645CC76B" w14:textId="77777777" w:rsidTr="00AE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19FFC426" w14:textId="77777777" w:rsidR="00AE0E1D" w:rsidRDefault="00000000">
            <w:pPr>
              <w:keepNext/>
              <w:keepLines/>
            </w:pPr>
            <w:r>
              <w:rPr>
                <w:color w:val="FFFFFF"/>
              </w:rPr>
              <w:t>Marco</w:t>
            </w:r>
          </w:p>
        </w:tc>
        <w:tc>
          <w:tcPr>
            <w:tcW w:w="3120" w:type="dxa"/>
            <w:shd w:val="clear" w:color="auto" w:fill="0033CC"/>
          </w:tcPr>
          <w:p w14:paraId="041499F5" w14:textId="77777777" w:rsidR="00AE0E1D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Indicador típico</w:t>
            </w:r>
          </w:p>
        </w:tc>
        <w:tc>
          <w:tcPr>
            <w:tcW w:w="3120" w:type="dxa"/>
            <w:shd w:val="clear" w:color="auto" w:fill="0033CC"/>
          </w:tcPr>
          <w:p w14:paraId="25630FAB" w14:textId="77777777" w:rsidR="00AE0E1D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Aplicación en España / UE</w:t>
            </w:r>
          </w:p>
        </w:tc>
      </w:tr>
      <w:tr w:rsidR="00AE0E1D" w:rsidRPr="008C503E" w14:paraId="248341AB" w14:textId="77777777" w:rsidTr="00AE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5B4BD5" w14:textId="77777777" w:rsidR="00AE0E1D" w:rsidRDefault="00000000">
            <w:pPr>
              <w:keepNext/>
              <w:keepLines/>
            </w:pPr>
            <w:r>
              <w:t>NIS2 / NIS360</w:t>
            </w:r>
          </w:p>
        </w:tc>
        <w:tc>
          <w:tcPr>
            <w:tcW w:w="3120" w:type="dxa"/>
          </w:tcPr>
          <w:p w14:paraId="0778FCCE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Porcentaje de entidades con gestión de riesgos alineada a NIS2.12</w:t>
            </w:r>
          </w:p>
        </w:tc>
        <w:tc>
          <w:tcPr>
            <w:tcW w:w="3120" w:type="dxa"/>
          </w:tcPr>
          <w:p w14:paraId="478716D2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Supervisión sectorial por autoridades nacionales, coordinación con ENISA.1</w:t>
            </w:r>
          </w:p>
        </w:tc>
      </w:tr>
      <w:tr w:rsidR="00AE0E1D" w:rsidRPr="008C503E" w14:paraId="7223A26C" w14:textId="77777777" w:rsidTr="00AE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7B0C9E" w14:textId="77777777" w:rsidR="00AE0E1D" w:rsidRDefault="00000000">
            <w:pPr>
              <w:keepNext/>
              <w:keepLines/>
            </w:pPr>
            <w:r>
              <w:t>NIS2</w:t>
            </w:r>
          </w:p>
        </w:tc>
        <w:tc>
          <w:tcPr>
            <w:tcW w:w="3120" w:type="dxa"/>
          </w:tcPr>
          <w:p w14:paraId="3D9FFEE3" w14:textId="77777777" w:rsidR="00AE0E1D" w:rsidRPr="008C503E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Tiempo medio de notificación de incidentes a CSIRT nacional.1</w:t>
            </w:r>
          </w:p>
        </w:tc>
        <w:tc>
          <w:tcPr>
            <w:tcW w:w="3120" w:type="dxa"/>
          </w:tcPr>
          <w:p w14:paraId="3E021D1C" w14:textId="77777777" w:rsidR="00AE0E1D" w:rsidRPr="008C503E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Integración con INCIBE‑CERT y CCN‑CERT para sectores públicos y privados.6</w:t>
            </w:r>
          </w:p>
        </w:tc>
      </w:tr>
      <w:tr w:rsidR="00AE0E1D" w:rsidRPr="008C503E" w14:paraId="1AF22C17" w14:textId="77777777" w:rsidTr="00AE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1AEE9C" w14:textId="77777777" w:rsidR="00AE0E1D" w:rsidRDefault="00000000">
            <w:pPr>
              <w:keepNext/>
              <w:keepLines/>
            </w:pPr>
            <w:r>
              <w:t>España Digital 2025</w:t>
            </w:r>
          </w:p>
        </w:tc>
        <w:tc>
          <w:tcPr>
            <w:tcW w:w="3120" w:type="dxa"/>
          </w:tcPr>
          <w:p w14:paraId="1040CDBC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Nº de especialistas en ciberseguridad formados; digitalización de servicios públicos.7</w:t>
            </w:r>
          </w:p>
        </w:tc>
        <w:tc>
          <w:tcPr>
            <w:tcW w:w="3120" w:type="dxa"/>
          </w:tcPr>
          <w:p w14:paraId="212170D4" w14:textId="77777777" w:rsidR="00AE0E1D" w:rsidRPr="008C503E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Indicador de capacidad de cumplimiento y de resiliencia institucional.7</w:t>
            </w:r>
          </w:p>
        </w:tc>
      </w:tr>
      <w:tr w:rsidR="00AE0E1D" w:rsidRPr="008C503E" w14:paraId="6B3A7146" w14:textId="77777777" w:rsidTr="00AE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92353D" w14:textId="77777777" w:rsidR="00AE0E1D" w:rsidRDefault="00000000">
            <w:pPr>
              <w:keepLines/>
            </w:pPr>
            <w:r>
              <w:t>NIST RMF / SP 800‑53</w:t>
            </w:r>
          </w:p>
        </w:tc>
        <w:tc>
          <w:tcPr>
            <w:tcW w:w="3120" w:type="dxa"/>
          </w:tcPr>
          <w:p w14:paraId="1F11388F" w14:textId="77777777" w:rsidR="00AE0E1D" w:rsidRPr="008C503E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Porcentaje de controles implementados y evaluados satisfactoriamente.4</w:t>
            </w:r>
          </w:p>
        </w:tc>
        <w:tc>
          <w:tcPr>
            <w:tcW w:w="3120" w:type="dxa"/>
          </w:tcPr>
          <w:p w14:paraId="72B37FCB" w14:textId="77777777" w:rsidR="00AE0E1D" w:rsidRPr="008C503E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C503E">
              <w:rPr>
                <w:lang w:val="es-ES"/>
              </w:rPr>
              <w:t>Uso como referencia por organizaciones multinacionales y sectores regulados.</w:t>
            </w:r>
          </w:p>
        </w:tc>
      </w:tr>
    </w:tbl>
    <w:p w14:paraId="3C18853D" w14:textId="77777777" w:rsidR="00AE0E1D" w:rsidRPr="008C503E" w:rsidRDefault="00AE0E1D">
      <w:pPr>
        <w:rPr>
          <w:lang w:val="es-ES"/>
        </w:rPr>
      </w:pPr>
    </w:p>
    <w:p w14:paraId="13BC43EA" w14:textId="77777777" w:rsidR="00AE0E1D" w:rsidRPr="008C503E" w:rsidRDefault="00000000">
      <w:pPr>
        <w:pStyle w:val="Ttulo2"/>
        <w:rPr>
          <w:lang w:val="es-ES"/>
        </w:rPr>
      </w:pPr>
      <w:r w:rsidRPr="008C503E">
        <w:rPr>
          <w:color w:val="0066CC"/>
          <w:lang w:val="es-ES"/>
        </w:rPr>
        <w:t>5. Aplicación nacional en España y mirada comparada</w:t>
      </w:r>
    </w:p>
    <w:p w14:paraId="388617D0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Si tuviéramos que sintetizar el “cuadro de mando” GRC nacional de España con perspectiva global, a partir de las tendencias desde 2025, podríamos imaginar algo así:</w:t>
      </w:r>
    </w:p>
    <w:p w14:paraId="0B4C5C0F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Gobernanza, España presenta un marco institucional robusto, reconocido internacionalmente y categorizado como TIER 1 en el índice global de ciberseguridad de la UIT, con un entramado de organismos especializados y la reciente creación de un Centro Nacional de Ciberseguridad bajo Presidencia para reforzar la coordinación y la capacidad estratégica. Comparativamente, esto sitúa a España en el grupo de países que ya no discuten si necesitan gobernanza centralizada, sino cómo hacerla más efectiva y menos fragmentada, algo que también reflejan las mejores prácticas promovidas por ENISA para los Estados miembros.</w:t>
      </w:r>
      <w:r>
        <w:footnoteReference w:id="33"/>
      </w:r>
      <w:r>
        <w:footnoteReference w:id="34"/>
      </w:r>
      <w:r>
        <w:footnoteReference w:id="35"/>
      </w:r>
    </w:p>
    <w:p w14:paraId="0B746898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 xml:space="preserve">En Riesgo, los datos de incidentes muestran un entorno crecientemente hostil (300% de incremento en ataques desde 2015, más de 100.000 en 2024), acompañado de una transición europea hacia métricas de madurez y criticidad que obligan a España a mirar no solo cuántos ataques sufre, sino en qué sectores la brecha entre importancia y preparación es más peligrosa. Los informes industriales apuntan que, pese a una infraestructura digital avanzada, ciertas capacidades (como la resiliencia de red empresarial) muestran signos de fatiga o retroceso, lo que la alinea con </w:t>
      </w:r>
      <w:r w:rsidRPr="008C503E">
        <w:rPr>
          <w:lang w:val="es-ES"/>
        </w:rPr>
        <w:lastRenderedPageBreak/>
        <w:t>una tendencia mundial donde la complejidad tecnológica corre más rápido que la capacidad de gestión.</w:t>
      </w:r>
      <w:r>
        <w:footnoteReference w:id="36"/>
      </w:r>
      <w:r>
        <w:footnoteReference w:id="37"/>
      </w:r>
      <w:r>
        <w:footnoteReference w:id="38"/>
      </w:r>
      <w:r>
        <w:footnoteReference w:id="39"/>
      </w:r>
      <w:r>
        <w:footnoteReference w:id="40"/>
      </w:r>
      <w:r>
        <w:footnoteReference w:id="41"/>
      </w:r>
    </w:p>
    <w:p w14:paraId="0BDD4B17" w14:textId="77777777" w:rsidR="00AE0E1D" w:rsidRPr="008C503E" w:rsidRDefault="00000000">
      <w:pPr>
        <w:rPr>
          <w:lang w:val="es-ES"/>
        </w:rPr>
      </w:pPr>
      <w:r w:rsidRPr="008C503E">
        <w:rPr>
          <w:lang w:val="es-ES"/>
        </w:rPr>
        <w:t>En Cumplimiento, la combinación de NIS2, DORA, las iniciativas de la Década Digital y España Digital 2025 empuja a una metricocracia regulatoria donde cada obligación legal acaba traduciéndose en un indicador: desde el porcentaje de operadores esenciales con planes de ciberseguridad auditados hasta el nivel de competencias digitales de empleados públicos y privados. En comparación internacional, España se mueve en línea con otros Estados de la UE que han optado por marcos de cumplimiento densos pero relativamente coherentes, frente a otros entornos donde coexisten marcos sectoriales dispares sin una narrativa común.</w:t>
      </w:r>
      <w:r>
        <w:footnoteReference w:id="42"/>
      </w:r>
      <w:r>
        <w:footnoteReference w:id="43"/>
      </w:r>
      <w:r>
        <w:footnoteReference w:id="44"/>
      </w:r>
      <w:r>
        <w:footnoteReference w:id="45"/>
      </w:r>
    </w:p>
    <w:p w14:paraId="439669DA" w14:textId="3A99B840" w:rsidR="00AE0E1D" w:rsidRPr="008C503E" w:rsidRDefault="00000000">
      <w:pPr>
        <w:rPr>
          <w:lang w:val="es-ES"/>
        </w:rPr>
      </w:pPr>
      <w:r w:rsidRPr="008C503E">
        <w:rPr>
          <w:lang w:val="es-ES"/>
        </w:rPr>
        <w:t xml:space="preserve">El reto que queda es menos técnico y más político: transformar este conjunto exuberante de indicadores GRC en un sistema que permita tomar decisiones difíciles con claridad y anticipación. </w:t>
      </w:r>
      <w:proofErr w:type="gramStart"/>
      <w:r w:rsidRPr="008C503E">
        <w:rPr>
          <w:lang w:val="es-ES"/>
        </w:rPr>
        <w:t>O</w:t>
      </w:r>
      <w:proofErr w:type="gramEnd"/>
      <w:r w:rsidRPr="008C503E">
        <w:rPr>
          <w:lang w:val="es-ES"/>
        </w:rPr>
        <w:t xml:space="preserve"> dicho de otra forma: conseguir que la métrica no sea un fin en sí misma, sino una brújula que señale dónde invertir, dónde regular con más uñas y dónde aceptar, con serenidad poco marketiniana, que cierto nivel de riesgo residual es parte del trato.</w:t>
      </w:r>
    </w:p>
    <w:p w14:paraId="7C67A862" w14:textId="77777777" w:rsidR="00AE0E1D" w:rsidRDefault="00000000">
      <w:r>
        <w:t>1112131415</w:t>
      </w:r>
    </w:p>
    <w:sectPr w:rsidR="00AE0E1D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23554" w14:textId="77777777" w:rsidR="00B35A22" w:rsidRDefault="00B35A22">
      <w:pPr>
        <w:spacing w:after="0" w:line="240" w:lineRule="auto"/>
      </w:pPr>
      <w:r>
        <w:separator/>
      </w:r>
    </w:p>
  </w:endnote>
  <w:endnote w:type="continuationSeparator" w:id="0">
    <w:p w14:paraId="5D14C7E1" w14:textId="77777777" w:rsidR="00B35A22" w:rsidRDefault="00B3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F3E7D" w14:textId="77777777" w:rsidR="00B35A22" w:rsidRDefault="00B35A22">
      <w:pPr>
        <w:spacing w:after="0" w:line="240" w:lineRule="auto"/>
      </w:pPr>
      <w:r>
        <w:separator/>
      </w:r>
    </w:p>
  </w:footnote>
  <w:footnote w:type="continuationSeparator" w:id="0">
    <w:p w14:paraId="789C413B" w14:textId="77777777" w:rsidR="00B35A22" w:rsidRDefault="00B35A22">
      <w:pPr>
        <w:spacing w:after="0" w:line="240" w:lineRule="auto"/>
      </w:pPr>
      <w:r>
        <w:continuationSeparator/>
      </w:r>
    </w:p>
  </w:footnote>
  <w:footnote w:id="1">
    <w:p w14:paraId="730DD5D4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2">
    <w:p w14:paraId="74D129A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3">
    <w:p w14:paraId="17383E25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https://newsroom.cisco.com/c/dam/r/newsroom/en/us/interactive/cybersecurity-readiness-index/2025/documents/2025_Cisco_Cybersecurity_Readiness_Index_ES.pdf</w:t>
      </w:r>
    </w:p>
  </w:footnote>
  <w:footnote w:id="4">
    <w:p w14:paraId="63B4CDC2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5">
    <w:p w14:paraId="2A466DC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https://csrc.nist.gov/projects/risk-management</w:t>
      </w:r>
    </w:p>
  </w:footnote>
  <w:footnote w:id="6">
    <w:p w14:paraId="6AEE777B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7">
    <w:p w14:paraId="596AA41D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https://administracionelectronica.gob.es/pae_Home/dam/jcr:8292701b-f99d-47f7-a826-9b399dd63987/2025_ficha_informativa_Spain_Decada_digital.pdf</w:t>
      </w:r>
    </w:p>
  </w:footnote>
  <w:footnote w:id="8">
    <w:p w14:paraId="6B26E518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</w:footnote>
  <w:footnote w:id="9">
    <w:p w14:paraId="4E2FAD86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https://portal.mineco.gob.es/RecursosArticulo/mineco/ministerio/ficheros/210204_Digital_Spain_2025.pdf</w:t>
      </w:r>
    </w:p>
  </w:footnote>
  <w:footnote w:id="10">
    <w:p w14:paraId="1620C56C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https://www.lamoncloa.gob.es/lang/en/presidente/news/paginas/2025/20251016-information-cecurity-meeting.aspx</w:t>
      </w:r>
    </w:p>
  </w:footnote>
  <w:footnote w:id="11">
    <w:p w14:paraId="02428E9D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https://csrc.nist.gov/projects/risk-management</w:t>
      </w:r>
    </w:p>
  </w:footnote>
  <w:footnote w:id="12">
    <w:p w14:paraId="4E65D05C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13">
    <w:p w14:paraId="32F74386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14">
    <w:p w14:paraId="52E63DF3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15">
    <w:p w14:paraId="65E37E0C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16">
    <w:p w14:paraId="63678C57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17">
    <w:p w14:paraId="167FDAB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</w:footnote>
  <w:footnote w:id="18">
    <w:p w14:paraId="41F69B03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19">
    <w:p w14:paraId="2CA59796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20">
    <w:p w14:paraId="67B512A2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https://newsroom.cisco.com/c/dam/r/newsroom/en/us/interactive/cybersecurity-readiness-index/2025/documents/2025_Cisco_Cybersecurity_Readiness_Index_ES.pdf</w:t>
      </w:r>
    </w:p>
  </w:footnote>
  <w:footnote w:id="21">
    <w:p w14:paraId="2898B316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</w:footnote>
  <w:footnote w:id="22">
    <w:p w14:paraId="051B0B7E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23">
    <w:p w14:paraId="7994929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24">
    <w:p w14:paraId="53C8EFC4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25">
    <w:p w14:paraId="5EA31987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https://newsroom.cisco.com/c/dam/r/newsroom/en/us/interactive/cybersecurity-readiness-index/2025/documents/2025_Cisco_Cybersecurity_Readiness_Index_ES.pdf</w:t>
      </w:r>
    </w:p>
  </w:footnote>
  <w:footnote w:id="26">
    <w:p w14:paraId="32173C64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https://newsroom.cisco.com/c/dam/r/newsroom/en/us/interactive/cybersecurity-readiness-index/2025/documents/2025_Cisco_Cybersecurity_Readiness_Index_ES.pdf</w:t>
      </w:r>
    </w:p>
  </w:footnote>
  <w:footnote w:id="27">
    <w:p w14:paraId="407494D5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28">
    <w:p w14:paraId="537E7450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29">
    <w:p w14:paraId="3540FF1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https://portal.mineco.gob.es/RecursosArticulo/mineco/ministerio/ficheros/210204_Digital_Spain_2025.pdf</w:t>
      </w:r>
    </w:p>
  </w:footnote>
  <w:footnote w:id="30">
    <w:p w14:paraId="19873A5A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</w:footnote>
  <w:footnote w:id="31">
    <w:p w14:paraId="73D6411F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https://www.thoropass.com/blog/about-nist-800-37-compliance-in-2025</w:t>
      </w:r>
    </w:p>
  </w:footnote>
  <w:footnote w:id="32">
    <w:p w14:paraId="7D8D2577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https://csrc.nist.gov/projects/risk-management</w:t>
      </w:r>
    </w:p>
  </w:footnote>
  <w:footnote w:id="33">
    <w:p w14:paraId="2AE332F4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https://www.lamoncloa.gob.es/lang/en/presidente/news/paginas/2025/20251016-information-cecurity-meeting.aspx</w:t>
      </w:r>
    </w:p>
  </w:footnote>
  <w:footnote w:id="34">
    <w:p w14:paraId="692683B2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35">
    <w:p w14:paraId="05972154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36">
    <w:p w14:paraId="11E648F1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</w:footnote>
  <w:footnote w:id="37">
    <w:p w14:paraId="4A890C95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https://portal.mineco.gob.es/RecursosArticulo/mineco/ministerio/ficheros/210204_Digital_Spain_2025.pdf</w:t>
      </w:r>
    </w:p>
  </w:footnote>
  <w:footnote w:id="38">
    <w:p w14:paraId="06B49177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https://newsroom.cisco.com/c/dam/r/newsroom/en/us/interactive/cybersecurity-readiness-index/2025/documents/2025_Cisco_Cybersecurity_Readiness_Index_ES.pdf</w:t>
      </w:r>
    </w:p>
  </w:footnote>
  <w:footnote w:id="39">
    <w:p w14:paraId="583D33D5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https://administracionelectronica.gob.es/pae_Home/dam/jcr:8292701b-f99d-47f7-a826-9b399dd63987/2025_ficha_informativa_Spain_Decada_digital.pdf</w:t>
      </w:r>
    </w:p>
  </w:footnote>
  <w:footnote w:id="40">
    <w:p w14:paraId="3EFA55A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41">
    <w:p w14:paraId="24B501B9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  <w:footnote w:id="42">
    <w:p w14:paraId="4F0FDB11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https://portal.mineco.gob.es/RecursosArticulo/mineco/ministerio/ficheros/210204_Digital_Spain_2025.pdf</w:t>
      </w:r>
    </w:p>
  </w:footnote>
  <w:footnote w:id="43">
    <w:p w14:paraId="2E53F23E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https://administracionelectronica.gob.es/pae_Home/dam/jcr:8292701b-f99d-47f7-a826-9b399dd63987/2025_ficha_informativa_Spain_Decada_digital.pdf</w:t>
      </w:r>
    </w:p>
  </w:footnote>
  <w:footnote w:id="44">
    <w:p w14:paraId="658110E8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https://www.enisa.europa.eu/sites/default/files/2025-03/ENISA - NIS360 - 2024_0.pdf</w:t>
      </w:r>
    </w:p>
  </w:footnote>
  <w:footnote w:id="45">
    <w:p w14:paraId="23729310" w14:textId="77777777" w:rsidR="00AE0E1D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https://industrialcyber.co/reports/enisas-nis360-report-guides-nis2-directive-implementation-maps-sectoral-maturity-flags-cybersecurity-challenges/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CED64" w14:textId="77777777" w:rsidR="00AE0E1D" w:rsidRDefault="00000000">
    <w:pPr>
      <w:pStyle w:val="Encabezado"/>
      <w:jc w:val="center"/>
    </w:pPr>
    <w:r>
      <w:rPr>
        <w:noProof/>
      </w:rPr>
      <w:drawing>
        <wp:inline distT="0" distB="0" distL="0" distR="0" wp14:anchorId="216169A3" wp14:editId="311E50C8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AC04AD" w14:textId="77777777" w:rsidR="00AE0E1D" w:rsidRDefault="00AE0E1D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46919">
    <w:abstractNumId w:val="8"/>
  </w:num>
  <w:num w:numId="2" w16cid:durableId="200553533">
    <w:abstractNumId w:val="6"/>
  </w:num>
  <w:num w:numId="3" w16cid:durableId="932587428">
    <w:abstractNumId w:val="5"/>
  </w:num>
  <w:num w:numId="4" w16cid:durableId="1477841776">
    <w:abstractNumId w:val="4"/>
  </w:num>
  <w:num w:numId="5" w16cid:durableId="6640920">
    <w:abstractNumId w:val="7"/>
  </w:num>
  <w:num w:numId="6" w16cid:durableId="649290248">
    <w:abstractNumId w:val="3"/>
  </w:num>
  <w:num w:numId="7" w16cid:durableId="1064064681">
    <w:abstractNumId w:val="2"/>
  </w:num>
  <w:num w:numId="8" w16cid:durableId="1390962139">
    <w:abstractNumId w:val="1"/>
  </w:num>
  <w:num w:numId="9" w16cid:durableId="209527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503E"/>
    <w:rsid w:val="00AA1D8D"/>
    <w:rsid w:val="00AE0E1D"/>
    <w:rsid w:val="00B35A22"/>
    <w:rsid w:val="00B47730"/>
    <w:rsid w:val="00CB0664"/>
    <w:rsid w:val="00CF3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50E2A"/>
  <w14:defaultImageDpi w14:val="300"/>
  <w15:docId w15:val="{AF66E61D-B2C3-714C-A4EC-896C4868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2188</Words>
  <Characters>12040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2</cp:revision>
  <dcterms:created xsi:type="dcterms:W3CDTF">2026-04-11T08:27:00Z</dcterms:created>
  <dcterms:modified xsi:type="dcterms:W3CDTF">2026-04-11T08:27:00Z</dcterms:modified>
  <cp:category/>
</cp:coreProperties>
</file>