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Marco integrativo GQM + PRAGMATIC para indicadores SIEM</w:t>
      </w:r>
    </w:p>
    <w:p>
      <w:r>
        <w:t>Versión 1.0 – Enfoque para conectar objetivos nacionales de ciberseguridad con métricas técnicas SIEM y evaluar su calidad.</w:t>
      </w:r>
    </w:p>
    <w:p>
      <w:pPr>
        <w:pStyle w:val="Heading2"/>
        <w:keepNext/>
        <w:keepLines/>
      </w:pPr>
      <w:r>
        <w:rPr>
          <w:color w:val="0066CC"/>
        </w:rPr>
        <w:t>1. Introducción</w:t>
      </w:r>
    </w:p>
    <w:p>
      <w:r>
        <w:t>Este documento define un marco integrativo que combina la metodología GQM (Goal–Question–Metric) con los criterios PRAGMATIC para diseñar, seleccionar y evaluar indicadores SIEM desde la perspectiva de objetivos nacionales y sectoriales de ciberseguridad.</w:t>
      </w:r>
    </w:p>
    <w:p>
      <w:pPr>
        <w:pStyle w:val="Heading3"/>
        <w:keepNext/>
        <w:keepLines/>
      </w:pPr>
      <w:r>
        <w:t>1.1 Objetivo del marco</w:t>
      </w:r>
    </w:p>
    <w:p>
      <w:pPr>
        <w:pStyle w:val="ListBullet"/>
        <w:keepLines w:val="1"/>
        <w:keepNext w:val="1"/>
        <w:widowControl w:val="1"/>
      </w:pPr>
      <w:r>
        <w:t>Asegurar trazabilidad explícita desde los objetivos estratégicos (nivel país, sector y organización) hasta las métricas técnicas del SIEM.</w:t>
      </w:r>
    </w:p>
    <w:p>
      <w:pPr>
        <w:pStyle w:val="ListBullet"/>
        <w:keepLines w:val="1"/>
        <w:keepNext w:val="1"/>
        <w:widowControl w:val="1"/>
      </w:pPr>
      <w:r>
        <w:t>Evaluar cada métrica con los nueve criterios PRAGMATIC: Predictivo, Relevante, Accionable, Genuino, Significativo, Preciso, Oportuno, Independiente y Rentable.</w:t>
      </w:r>
    </w:p>
    <w:p>
      <w:pPr>
        <w:pStyle w:val="ListBullet"/>
        <w:keepLines w:val="1"/>
        <w:widowControl w:val="1"/>
      </w:pPr>
      <w:r>
        <w:t>Proporcionar una base homogénea para cuadros de mando nacionales, sectoriales y corporativos, alineada con NIS2, ENS, DORA y guías de ENISA.</w:t>
      </w:r>
    </w:p>
    <w:p>
      <w:pPr>
        <w:pStyle w:val="Heading3"/>
        <w:keepNext/>
        <w:keepLines/>
      </w:pPr>
      <w:r>
        <w:t>1.2 Contexto SIEM/SOC</w:t>
      </w:r>
    </w:p>
    <w:p>
      <w:r>
        <w:t>El marco parte de la función actual del SIEM como:</w:t>
      </w:r>
    </w:p>
    <w:p>
      <w:pPr>
        <w:pStyle w:val="ListBullet"/>
        <w:keepLines w:val="1"/>
        <w:keepNext w:val="1"/>
        <w:widowControl w:val="1"/>
      </w:pPr>
      <w:r>
        <w:t>Motor de detección y respuesta (SOC).</w:t>
      </w:r>
    </w:p>
    <w:p>
      <w:pPr>
        <w:pStyle w:val="ListBullet"/>
        <w:keepLines w:val="1"/>
        <w:keepNext w:val="1"/>
        <w:widowControl w:val="1"/>
      </w:pPr>
      <w:r>
        <w:t>Fuente de evidencia para cumplimiento normativo (NIS2, ENS, reguladores sectoriales).</w:t>
      </w:r>
    </w:p>
    <w:p>
      <w:pPr>
        <w:pStyle w:val="ListBullet"/>
        <w:keepLines w:val="1"/>
        <w:widowControl w:val="1"/>
      </w:pPr>
      <w:r>
        <w:t>Componente clave de la evaluación de resiliencia y de los índices de madurez nacionales.</w:t>
      </w:r>
    </w:p>
    <w:p>
      <w:pPr>
        <w:pStyle w:val="Heading2"/>
        <w:keepNext/>
        <w:keepLines/>
      </w:pPr>
      <w:r>
        <w:rPr>
          <w:color w:val="0066CC"/>
        </w:rPr>
        <w:t>2. Resumen del enfoque GQM aplicado a SIEM</w:t>
      </w:r>
    </w:p>
    <w:p>
      <w:r>
        <w:t>La metodología GQM se estructura en tres niveles:</w:t>
      </w:r>
    </w:p>
    <w:p>
      <w:pPr>
        <w:pStyle w:val="ListBullet"/>
        <w:keepLines w:val="1"/>
        <w:keepNext w:val="1"/>
        <w:widowControl w:val="1"/>
      </w:pPr>
      <w:r>
        <w:t>Goal (G) – Objetivo de alto nivel, formulado en términos de riesgo país, resiliencia, cumplimiento o eficacia operativa.</w:t>
      </w:r>
    </w:p>
    <w:p>
      <w:pPr>
        <w:pStyle w:val="ListBullet"/>
        <w:keepLines w:val="1"/>
        <w:keepNext w:val="1"/>
        <w:widowControl w:val="1"/>
      </w:pPr>
      <w:r>
        <w:t>Question (Q) – Preguntas que permiten evaluar si el objetivo se está cumpliendo, expresadas en lenguaje de negocio, regulación y riesgo.</w:t>
      </w:r>
    </w:p>
    <w:p>
      <w:pPr>
        <w:pStyle w:val="ListBullet"/>
        <w:keepLines w:val="1"/>
        <w:widowControl w:val="1"/>
      </w:pPr>
      <w:r>
        <w:t>Metric (M) – Métricas cuantitativas y cualitativas derivadas de las preguntas, implementables con datos del SIEM y sistemas relacionados (ticketing, CMDB, herramientas de riesgo, etc.).</w:t>
      </w:r>
    </w:p>
    <w:p>
      <w:r>
        <w:t>En el contexto SIEM, cada objetivo se conecta con:</w:t>
      </w:r>
    </w:p>
    <w:p>
      <w:pPr>
        <w:pStyle w:val="ListBullet"/>
        <w:keepLines w:val="1"/>
        <w:keepNext w:val="1"/>
        <w:widowControl w:val="1"/>
      </w:pPr>
      <w:r>
        <w:t>Indicadores de operación SOC (MTTD, MTTR, falsos positivos, cobertura).</w:t>
      </w:r>
    </w:p>
    <w:p>
      <w:pPr>
        <w:pStyle w:val="ListBullet"/>
        <w:keepLines w:val="1"/>
        <w:keepNext w:val="1"/>
        <w:widowControl w:val="1"/>
      </w:pPr>
      <w:r>
        <w:t>Indicadores de cumplimiento (plazos de notificación, calidad de evidencias, número de incidentes reportados).</w:t>
      </w:r>
    </w:p>
    <w:p>
      <w:pPr>
        <w:pStyle w:val="ListBullet"/>
        <w:keepLines w:val="1"/>
        <w:keepNext w:val="1"/>
        <w:widowControl w:val="1"/>
      </w:pPr>
      <w:r>
        <w:t>Indicadores de riesgo (frecuencia de incidentes graves, impacto, exposición).</w:t>
      </w:r>
    </w:p>
    <w:p>
      <w:pPr>
        <w:pStyle w:val="ListBullet"/>
        <w:keepLines w:val="1"/>
        <w:widowControl w:val="1"/>
      </w:pPr>
      <w:r>
        <w:t>Indicadores de modernización (uso de IA, automatización, monitorización OT/5G).</w:t>
      </w:r>
    </w:p>
    <w:p>
      <w:r>
        <w:t>El resultado es una cadena explícita:</w:t>
      </w:r>
      <w:r/>
      <w:r>
        <w:br/>
        <w:t>Objetivo estratégico → Preguntas de negocio/regulación → Métricas SIEM instrumentadas.</w:t>
      </w:r>
    </w:p>
    <w:p>
      <w:pPr>
        <w:pStyle w:val="Heading2"/>
        <w:keepNext/>
        <w:keepLines/>
      </w:pPr>
      <w:r>
        <w:rPr>
          <w:color w:val="0066CC"/>
        </w:rPr>
        <w:t>3. Integración con PRAGMATIC</w:t>
      </w:r>
    </w:p>
    <w:p>
      <w:r>
        <w:t>La metodología PRAGMATIC introduce un conjunto de criterios para evaluar la “salud” de cada métrica:</w:t>
      </w:r>
    </w:p>
    <w:p>
      <w:pPr>
        <w:pStyle w:val="ListBullet"/>
        <w:keepLines w:val="1"/>
        <w:keepNext w:val="1"/>
        <w:widowControl w:val="1"/>
      </w:pPr>
      <w:r>
        <w:t>P – Predictivo: capacidad de anticipar comportamientos futuros, tendencias de amenaza o degradación de controles, más allá de describir el pasado.</w:t>
      </w:r>
    </w:p>
    <w:p>
      <w:pPr>
        <w:pStyle w:val="ListBullet"/>
        <w:keepLines w:val="1"/>
        <w:keepNext w:val="1"/>
        <w:widowControl w:val="1"/>
      </w:pPr>
      <w:r>
        <w:t>R – Relevante: alineación con objetivos clave del país, sector, regulador y organización.</w:t>
      </w:r>
    </w:p>
    <w:p>
      <w:pPr>
        <w:pStyle w:val="ListBullet"/>
        <w:keepLines w:val="1"/>
        <w:keepNext w:val="1"/>
        <w:widowControl w:val="1"/>
      </w:pPr>
      <w:r>
        <w:t>A – Accionable: capacidad de sugerir acciones concretas cuando la métrica cambia (por ejemplo, reforzar controles, ajustar staffing, modificar casos de uso).</w:t>
      </w:r>
    </w:p>
    <w:p>
      <w:pPr>
        <w:pStyle w:val="ListBullet"/>
        <w:keepLines w:val="1"/>
        <w:keepNext w:val="1"/>
        <w:widowControl w:val="1"/>
      </w:pPr>
      <w:r>
        <w:t>G – Genuino: fidelidad con la realidad que pretende medir; ausencia de distorsiones sistemáticas o incentivos perversos.</w:t>
      </w:r>
    </w:p>
    <w:p>
      <w:pPr>
        <w:pStyle w:val="ListBullet"/>
        <w:keepLines w:val="1"/>
        <w:keepNext w:val="1"/>
        <w:widowControl w:val="1"/>
      </w:pPr>
      <w:r>
        <w:t>M – Significativo (Meaningful): inteligibilidad y capacidad de aportar significado a las partes interesadas (CISO, negocio, regulador, gobierno).</w:t>
      </w:r>
    </w:p>
    <w:p>
      <w:pPr>
        <w:pStyle w:val="ListBullet"/>
        <w:keepLines w:val="1"/>
        <w:keepNext w:val="1"/>
        <w:widowControl w:val="1"/>
      </w:pPr>
      <w:r>
        <w:t>P – Preciso (Precise): grado de exactitud, claridad de definición y ausencia de ambigüedades.</w:t>
      </w:r>
    </w:p>
    <w:p>
      <w:pPr>
        <w:pStyle w:val="ListBullet"/>
        <w:keepLines w:val="1"/>
        <w:keepNext w:val="1"/>
        <w:widowControl w:val="1"/>
      </w:pPr>
      <w:r>
        <w:t>T – Oportuno (Timely): capacidad de obtener la métrica con la frecuencia y latencia necesarias para que sea útil.</w:t>
      </w:r>
    </w:p>
    <w:p>
      <w:pPr>
        <w:pStyle w:val="ListBullet"/>
        <w:keepLines w:val="1"/>
        <w:keepNext w:val="1"/>
        <w:widowControl w:val="1"/>
      </w:pPr>
      <w:r>
        <w:t>I – Independiente: robustez frente a la manipulación, dependencia de una sola fuente o subjetividad excesiva.</w:t>
      </w:r>
    </w:p>
    <w:p>
      <w:pPr>
        <w:pStyle w:val="ListBullet"/>
        <w:keepLines w:val="1"/>
        <w:widowControl w:val="1"/>
      </w:pPr>
      <w:r>
        <w:t>C – Rentable (Cost‑effective): relación coste/beneficio razonable para la recogida, tratamiento y mantenimiento de la métrica.</w:t>
      </w:r>
    </w:p>
    <w:p>
      <w:r>
        <w:t>Cada criterio se puntúa en una escala 0–3:</w:t>
      </w:r>
    </w:p>
    <w:p>
      <w:pPr>
        <w:pStyle w:val="ListBullet"/>
        <w:keepLines w:val="1"/>
        <w:keepNext w:val="1"/>
        <w:widowControl w:val="1"/>
      </w:pPr>
      <w:r>
        <w:t>0 = No cumple / muy débil.</w:t>
      </w:r>
    </w:p>
    <w:p>
      <w:pPr>
        <w:pStyle w:val="ListBullet"/>
        <w:keepLines w:val="1"/>
        <w:keepNext w:val="1"/>
        <w:widowControl w:val="1"/>
      </w:pPr>
      <w:r>
        <w:t>1 = Cumple parcialmente.</w:t>
      </w:r>
    </w:p>
    <w:p>
      <w:pPr>
        <w:pStyle w:val="ListBullet"/>
        <w:keepLines w:val="1"/>
        <w:keepNext w:val="1"/>
        <w:widowControl w:val="1"/>
      </w:pPr>
      <w:r>
        <w:t>2 = Cumple adecuadamente.</w:t>
      </w:r>
    </w:p>
    <w:p>
      <w:pPr>
        <w:pStyle w:val="ListBullet"/>
        <w:keepLines w:val="1"/>
        <w:widowControl w:val="1"/>
      </w:pPr>
      <w:r>
        <w:t>3 = Cumple de forma excelente.</w:t>
      </w:r>
    </w:p>
    <w:p>
      <w:r>
        <w:t xml:space="preserve">La </w:t>
      </w:r>
      <w:r>
        <w:rPr>
          <w:b/>
        </w:rPr>
        <w:t>puntuación PRAGMATIC global</w:t>
      </w:r>
      <w:r>
        <w:t xml:space="preserve"> de una métrica puede obtenerse como suma o media de los nueve criterios, estableciendo umbrales:</w:t>
      </w:r>
    </w:p>
    <w:p>
      <w:pPr>
        <w:pStyle w:val="ListBullet"/>
        <w:keepLines w:val="1"/>
        <w:keepNext w:val="1"/>
        <w:widowControl w:val="1"/>
      </w:pPr>
      <w:r>
        <w:t>&lt; 12: métrica de baja calidad; reconsiderar seriamente su uso.</w:t>
      </w:r>
    </w:p>
    <w:p>
      <w:pPr>
        <w:pStyle w:val="ListBullet"/>
        <w:keepLines w:val="1"/>
        <w:keepNext w:val="1"/>
        <w:widowControl w:val="1"/>
      </w:pPr>
      <w:r>
        <w:t>12–20: métrica aceptable, pero con áreas claras de mejora.</w:t>
      </w:r>
    </w:p>
    <w:p>
      <w:pPr>
        <w:pStyle w:val="ListBullet"/>
        <w:keepLines w:val="1"/>
        <w:widowControl w:val="1"/>
      </w:pPr>
      <w:r>
        <w:br/>
        <w:br/>
        <w:t>20: métrica robusta; candidata a KPI estratégico.</w:t>
        <w:br/>
        <w:br/>
      </w:r>
    </w:p>
    <w:p>
      <w:r>
        <w:t>20: métrica robusta; candidata a KPI estratégico.</w:t>
      </w:r>
    </w:p>
    <w:p>
      <w:pPr>
        <w:pStyle w:val="Heading2"/>
        <w:keepNext/>
        <w:keepLines/>
      </w:pPr>
      <w:r>
        <w:rPr>
          <w:color w:val="0066CC"/>
        </w:rPr>
        <w:t>4. Objetivos GQM clave (nivel nacional/sectorial)</w:t>
      </w:r>
    </w:p>
    <w:p>
      <w:r>
        <w:t>A partir del informe de indicadores SIEM, se proponen los siguientes objetivos G de referencia:</w:t>
      </w:r>
    </w:p>
    <w:p>
      <w:pPr>
        <w:pStyle w:val="Heading3"/>
        <w:keepNext/>
        <w:keepLines/>
      </w:pPr>
      <w:r>
        <w:t>G1 – Reducir el tiempo de detección y respuesta a incidentes graves en sectores esenciales</w:t>
      </w:r>
    </w:p>
    <w:p>
      <w:pPr>
        <w:pStyle w:val="ListBullet"/>
        <w:keepLines w:val="1"/>
        <w:keepNext w:val="1"/>
        <w:widowControl w:val="1"/>
      </w:pPr>
      <w:r>
        <w:t>Motivación: limitar el impacto de ataques críticos (ransomware, intrusión en OT, fraude masivo).</w:t>
      </w:r>
    </w:p>
    <w:p>
      <w:pPr>
        <w:pStyle w:val="ListBullet"/>
        <w:keepLines w:val="1"/>
        <w:keepNext w:val="1"/>
        <w:widowControl w:val="1"/>
      </w:pPr>
      <w:r>
        <w:t>Ámbito: operadores esenciales e importantes, administración, infraestructuras críticas.</w:t>
      </w:r>
    </w:p>
    <w:p>
      <w:pPr>
        <w:pStyle w:val="ListBullet"/>
        <w:keepLines w:val="1"/>
        <w:widowControl w:val="1"/>
      </w:pPr>
      <w:r>
        <w:t>Relación normativa: NIS2 (art. 21 y 23), ENS (gestión de incidentes), DORA (resiliencia operativa).</w:t>
      </w:r>
    </w:p>
    <w:p>
      <w:r>
        <w:t>Ejemplos de preguntas:</w:t>
      </w:r>
    </w:p>
    <w:p>
      <w:pPr>
        <w:pStyle w:val="ListBullet"/>
        <w:keepLines w:val="1"/>
        <w:keepNext w:val="1"/>
        <w:widowControl w:val="1"/>
      </w:pPr>
      <w:r>
        <w:t>Q1.1: ¿Cuál es el tiempo medio de detección (MTTD) de incidentes de criticidad alta?</w:t>
      </w:r>
    </w:p>
    <w:p>
      <w:pPr>
        <w:pStyle w:val="ListBullet"/>
        <w:keepLines w:val="1"/>
        <w:keepNext w:val="1"/>
        <w:widowControl w:val="1"/>
      </w:pPr>
      <w:r>
        <w:t>Q1.2: ¿Cuál es el tiempo medio de respuesta/contención (MTTR) de esos incidentes?</w:t>
      </w:r>
    </w:p>
    <w:p>
      <w:pPr>
        <w:pStyle w:val="ListBullet"/>
        <w:keepLines w:val="1"/>
        <w:widowControl w:val="1"/>
      </w:pPr>
      <w:r>
        <w:t>Q1.3: ¿Cómo varían MTTD y MTTR por tipo de amenaza (ransomware, exfiltración, fraude) y por sector?</w:t>
      </w:r>
    </w:p>
    <w:p>
      <w:r>
        <w:t>Ejemplos de métricas:</w:t>
      </w:r>
    </w:p>
    <w:p>
      <w:pPr>
        <w:pStyle w:val="ListBullet"/>
        <w:keepLines w:val="1"/>
        <w:keepNext w:val="1"/>
        <w:widowControl w:val="1"/>
      </w:pPr>
      <w:r>
        <w:t>M1.1: MTTD medio para incidentes críticos (en minutos).</w:t>
      </w:r>
    </w:p>
    <w:p>
      <w:pPr>
        <w:pStyle w:val="ListBullet"/>
        <w:keepLines w:val="1"/>
        <w:keepNext w:val="1"/>
        <w:widowControl w:val="1"/>
      </w:pPr>
      <w:r>
        <w:t>M1.2: MTTR medio hasta contención para incidentes críticos (en minutos).</w:t>
      </w:r>
    </w:p>
    <w:p>
      <w:pPr>
        <w:pStyle w:val="ListBullet"/>
        <w:keepLines w:val="1"/>
        <w:widowControl w:val="1"/>
      </w:pPr>
      <w:r>
        <w:t>M1.3: Distribución de MTTD por categoría de incidente y sector.</w:t>
      </w:r>
    </w:p>
    <w:p>
      <w:pPr>
        <w:pStyle w:val="Heading3"/>
        <w:keepNext/>
        <w:keepLines/>
      </w:pPr>
      <w:r>
        <w:t>G2 – Asegurar el cumplimiento efectivo de las obligaciones de notificación de incidentes</w:t>
      </w:r>
    </w:p>
    <w:p>
      <w:pPr>
        <w:pStyle w:val="ListBullet"/>
        <w:keepLines w:val="1"/>
        <w:keepNext w:val="1"/>
        <w:widowControl w:val="1"/>
      </w:pPr>
      <w:r>
        <w:t>Motivación: evitar incumplimientos de NIS2, ENS y normativa sectorial; mejorar coordinación con CERT nacionales.</w:t>
      </w:r>
    </w:p>
    <w:p>
      <w:pPr>
        <w:pStyle w:val="ListBullet"/>
        <w:keepLines w:val="1"/>
        <w:keepNext w:val="1"/>
        <w:widowControl w:val="1"/>
      </w:pPr>
      <w:r>
        <w:t>Ámbito: entidades sujetas a NIS2, ENS, DORA u otras regulaciones análogas.</w:t>
      </w:r>
    </w:p>
    <w:p>
      <w:pPr>
        <w:pStyle w:val="ListBullet"/>
        <w:keepLines w:val="1"/>
        <w:widowControl w:val="1"/>
      </w:pPr>
      <w:r>
        <w:t>Relación normativa: NIS2 art. 23, ENS (gestión de incidentes), reguladores sectoriales.</w:t>
      </w:r>
    </w:p>
    <w:p>
      <w:r>
        <w:t>Preguntas:</w:t>
      </w:r>
    </w:p>
    <w:p>
      <w:pPr>
        <w:pStyle w:val="ListBullet"/>
        <w:keepLines w:val="1"/>
        <w:keepNext w:val="1"/>
        <w:widowControl w:val="1"/>
      </w:pPr>
      <w:r>
        <w:t>Q2.1: ¿Cuánto tiempo transcurre, de media, desde la detección hasta la notificación oficial?</w:t>
      </w:r>
    </w:p>
    <w:p>
      <w:pPr>
        <w:pStyle w:val="ListBullet"/>
        <w:keepLines w:val="1"/>
        <w:keepNext w:val="1"/>
        <w:widowControl w:val="1"/>
      </w:pPr>
      <w:r>
        <w:t>Q2.2: ¿Qué porcentaje de incidentes sujetos a notificación se comunican dentro de los plazos legales?</w:t>
      </w:r>
    </w:p>
    <w:p>
      <w:pPr>
        <w:pStyle w:val="ListBullet"/>
        <w:keepLines w:val="1"/>
        <w:widowControl w:val="1"/>
      </w:pPr>
      <w:r>
        <w:t>Q2.3: ¿Cuál es el nivel de completitud de las evidencias técnicas incluidas en los informes?</w:t>
      </w:r>
    </w:p>
    <w:p>
      <w:r>
        <w:t>Métricas:</w:t>
      </w:r>
    </w:p>
    <w:p>
      <w:pPr>
        <w:pStyle w:val="ListBullet"/>
        <w:keepLines w:val="1"/>
        <w:keepNext w:val="1"/>
        <w:widowControl w:val="1"/>
      </w:pPr>
      <w:r>
        <w:t>M2.1: Tiempo medio detección‑notificación (horas).</w:t>
      </w:r>
    </w:p>
    <w:p>
      <w:pPr>
        <w:pStyle w:val="ListBullet"/>
        <w:keepLines w:val="1"/>
        <w:keepNext w:val="1"/>
        <w:widowControl w:val="1"/>
      </w:pPr>
      <w:r>
        <w:t>M2.2: % de incidentes notificados dentro de plazo legal.</w:t>
      </w:r>
    </w:p>
    <w:p>
      <w:pPr>
        <w:pStyle w:val="ListBullet"/>
        <w:keepLines w:val="1"/>
        <w:widowControl w:val="1"/>
      </w:pPr>
      <w:r>
        <w:t>M2.3: Índice de completitud de evidencias (0–100).</w:t>
      </w:r>
    </w:p>
    <w:p>
      <w:pPr>
        <w:pStyle w:val="Heading3"/>
        <w:keepNext/>
        <w:keepLines/>
      </w:pPr>
      <w:r>
        <w:t>G3 – Mejorar la calidad y la cobertura de la monitorización de activos críticos (IT/OT/5G)</w:t>
      </w:r>
    </w:p>
    <w:p>
      <w:pPr>
        <w:pStyle w:val="ListBullet"/>
        <w:keepLines w:val="1"/>
        <w:keepNext w:val="1"/>
        <w:widowControl w:val="1"/>
      </w:pPr>
      <w:r>
        <w:t>Motivación: asegurar que los activos más importantes están bajo vigilancia efectiva.</w:t>
      </w:r>
    </w:p>
    <w:p>
      <w:pPr>
        <w:pStyle w:val="ListBullet"/>
        <w:keepLines w:val="1"/>
        <w:keepNext w:val="1"/>
        <w:widowControl w:val="1"/>
      </w:pPr>
      <w:r>
        <w:t>Ámbito: activos críticos definidos por NIS2, ENS, estrategias sectoriales.</w:t>
      </w:r>
    </w:p>
    <w:p>
      <w:pPr>
        <w:pStyle w:val="ListBullet"/>
        <w:keepLines w:val="1"/>
        <w:widowControl w:val="1"/>
      </w:pPr>
      <w:r>
        <w:t>Relación normativa: NIS2 art. 21, ENS (medidas organizativas y técnicas), guías ENISA OT/5G.</w:t>
      </w:r>
    </w:p>
    <w:p>
      <w:r>
        <w:t>Preguntas:</w:t>
      </w:r>
    </w:p>
    <w:p>
      <w:pPr>
        <w:pStyle w:val="ListBullet"/>
        <w:keepLines w:val="1"/>
        <w:keepNext w:val="1"/>
        <w:widowControl w:val="1"/>
      </w:pPr>
      <w:r>
        <w:t>Q3.1: ¿Qué porcentaje de activos críticos envía logs relevantes al SIEM?</w:t>
      </w:r>
    </w:p>
    <w:p>
      <w:pPr>
        <w:pStyle w:val="ListBullet"/>
        <w:keepLines w:val="1"/>
        <w:keepNext w:val="1"/>
        <w:widowControl w:val="1"/>
      </w:pPr>
      <w:r>
        <w:t>Q3.2: ¿Qué porcentaje de técnicas MITRE ATT&amp;CK relevantes está cubierto por casos de uso?</w:t>
      </w:r>
    </w:p>
    <w:p>
      <w:pPr>
        <w:pStyle w:val="ListBullet"/>
        <w:keepLines w:val="1"/>
        <w:widowControl w:val="1"/>
      </w:pPr>
      <w:r>
        <w:t>Q3.3: ¿Cuál es la latencia media de ingesta y correlación de eventos críticos?</w:t>
      </w:r>
    </w:p>
    <w:p>
      <w:r>
        <w:t>Métricas:</w:t>
      </w:r>
    </w:p>
    <w:p>
      <w:pPr>
        <w:pStyle w:val="ListBullet"/>
        <w:keepLines w:val="1"/>
        <w:keepNext w:val="1"/>
        <w:widowControl w:val="1"/>
      </w:pPr>
      <w:r>
        <w:t>M3.1: Cobertura de activos críticos monitorizados (%).</w:t>
      </w:r>
    </w:p>
    <w:p>
      <w:pPr>
        <w:pStyle w:val="ListBullet"/>
        <w:keepLines w:val="1"/>
        <w:keepNext w:val="1"/>
        <w:widowControl w:val="1"/>
      </w:pPr>
      <w:r>
        <w:t>M3.2: Cobertura de técnicas ATT&amp;CK relevantes (%).</w:t>
      </w:r>
    </w:p>
    <w:p>
      <w:pPr>
        <w:pStyle w:val="ListBullet"/>
        <w:keepLines w:val="1"/>
        <w:widowControl w:val="1"/>
      </w:pPr>
      <w:r>
        <w:t>M3.3: Latencia de ingesta de eventos críticos (segundos/minutos).</w:t>
      </w:r>
    </w:p>
    <w:p>
      <w:pPr>
        <w:pStyle w:val="Heading3"/>
        <w:keepNext/>
        <w:keepLines/>
      </w:pPr>
      <w:r>
        <w:t>G4 – Incrementar el uso efectivo de IA y automatización en el SOC</w:t>
      </w:r>
    </w:p>
    <w:p>
      <w:pPr>
        <w:pStyle w:val="ListBullet"/>
        <w:keepLines w:val="1"/>
        <w:keepNext w:val="1"/>
        <w:widowControl w:val="1"/>
      </w:pPr>
      <w:r>
        <w:t>Motivación: reducir la fatiga de alertas, aumentar la precisión y liberar capacidad humana.</w:t>
      </w:r>
    </w:p>
    <w:p>
      <w:pPr>
        <w:pStyle w:val="ListBullet"/>
        <w:keepLines w:val="1"/>
        <w:keepNext w:val="1"/>
        <w:widowControl w:val="1"/>
      </w:pPr>
      <w:r>
        <w:t>Ámbito: SOC internos, híbridos o externalizados con capacidades SIEM/XDR/SOAR.</w:t>
      </w:r>
    </w:p>
    <w:p>
      <w:pPr>
        <w:pStyle w:val="ListBullet"/>
        <w:keepLines w:val="1"/>
        <w:widowControl w:val="1"/>
      </w:pPr>
      <w:r>
        <w:t>Relación normativa: NIS2 art. 21 (medidas técnicas), DORA (tecnologías de supervisión).</w:t>
      </w:r>
    </w:p>
    <w:p>
      <w:r>
        <w:t>Preguntas:</w:t>
      </w:r>
    </w:p>
    <w:p>
      <w:pPr>
        <w:pStyle w:val="ListBullet"/>
        <w:keepLines w:val="1"/>
        <w:keepNext w:val="1"/>
        <w:widowControl w:val="1"/>
      </w:pPr>
      <w:r>
        <w:t>Q4.1: ¿Qué porcentaje de detecciones deriva de modelos de IA/UEBA?</w:t>
      </w:r>
    </w:p>
    <w:p>
      <w:pPr>
        <w:pStyle w:val="ListBullet"/>
        <w:keepLines w:val="1"/>
        <w:keepNext w:val="1"/>
        <w:widowControl w:val="1"/>
      </w:pPr>
      <w:r>
        <w:t>Q4.2: ¿Qué porcentaje de incidentes se resuelve parcial o totalmente mediante automatización?</w:t>
      </w:r>
    </w:p>
    <w:p>
      <w:pPr>
        <w:pStyle w:val="ListBullet"/>
        <w:keepLines w:val="1"/>
        <w:widowControl w:val="1"/>
      </w:pPr>
      <w:r>
        <w:t>Q4.3: ¿Cómo afecta la IA a la tasa de falsos positivos y a la carga por analista?</w:t>
      </w:r>
    </w:p>
    <w:p>
      <w:r>
        <w:t>Métricas:</w:t>
      </w:r>
    </w:p>
    <w:p>
      <w:pPr>
        <w:pStyle w:val="ListBullet"/>
        <w:keepLines w:val="1"/>
        <w:keepNext w:val="1"/>
        <w:widowControl w:val="1"/>
      </w:pPr>
      <w:r>
        <w:t>M4.1: % de detecciones impulsadas por IA/UEBA.</w:t>
      </w:r>
    </w:p>
    <w:p>
      <w:pPr>
        <w:pStyle w:val="ListBullet"/>
        <w:keepLines w:val="1"/>
        <w:keepNext w:val="1"/>
        <w:widowControl w:val="1"/>
      </w:pPr>
      <w:r>
        <w:t>M4.2: % de incidentes con respuesta automatizada.</w:t>
      </w:r>
    </w:p>
    <w:p>
      <w:pPr>
        <w:pStyle w:val="ListBullet"/>
        <w:keepLines w:val="1"/>
        <w:widowControl w:val="1"/>
      </w:pPr>
      <w:r>
        <w:t>M4.3: Variación de falsos positivos antes/después de IA (Δ%).</w:t>
      </w:r>
    </w:p>
    <w:p>
      <w:pPr>
        <w:pStyle w:val="Heading3"/>
        <w:keepNext/>
        <w:keepLines/>
      </w:pPr>
      <w:r>
        <w:t>G5 – Integrar los indicadores SIEM en la gestión de riesgos y la toma de decisiones de inversión</w:t>
      </w:r>
    </w:p>
    <w:p>
      <w:pPr>
        <w:pStyle w:val="ListBullet"/>
        <w:keepLines w:val="1"/>
        <w:keepNext w:val="1"/>
        <w:widowControl w:val="1"/>
      </w:pPr>
      <w:r>
        <w:t>Motivación: convertir el SIEM en herramienta de gestión de riesgo y ROI, no solo en centro de coste.</w:t>
      </w:r>
    </w:p>
    <w:p>
      <w:pPr>
        <w:pStyle w:val="ListBullet"/>
        <w:keepLines w:val="1"/>
        <w:keepNext w:val="1"/>
        <w:widowControl w:val="1"/>
      </w:pPr>
      <w:r>
        <w:t>Ámbito: áreas de riesgo, negocio, auditoría, alta dirección.</w:t>
      </w:r>
    </w:p>
    <w:p>
      <w:pPr>
        <w:pStyle w:val="ListBullet"/>
        <w:keepLines w:val="1"/>
        <w:widowControl w:val="1"/>
      </w:pPr>
      <w:r>
        <w:t>Relación normativa: NIS2 art. 21 (gestión de riesgos), ENS (análisis de riesgos), DORA.</w:t>
      </w:r>
    </w:p>
    <w:p>
      <w:r>
        <w:t>Preguntas:</w:t>
      </w:r>
    </w:p>
    <w:p>
      <w:pPr>
        <w:pStyle w:val="ListBullet"/>
        <w:keepLines w:val="1"/>
        <w:keepNext w:val="1"/>
        <w:widowControl w:val="1"/>
      </w:pPr>
      <w:r>
        <w:t>Q5.1: ¿Con qué frecuencia se utilizan métricas SIEM en comités de riesgo?</w:t>
      </w:r>
    </w:p>
    <w:p>
      <w:pPr>
        <w:pStyle w:val="ListBullet"/>
        <w:keepLines w:val="1"/>
        <w:keepNext w:val="1"/>
        <w:widowControl w:val="1"/>
      </w:pPr>
      <w:r>
        <w:t>Q5.2: ¿Se utilizan métricas SIEM para justificar inversiones y priorizar proyectos?</w:t>
      </w:r>
    </w:p>
    <w:p>
      <w:pPr>
        <w:pStyle w:val="ListBullet"/>
        <w:keepLines w:val="1"/>
        <w:widowControl w:val="1"/>
      </w:pPr>
      <w:r>
        <w:t>Q5.3: ¿Cuál es la frecuencia de incidentes graves y la estimación de pérdidas evitadas?</w:t>
      </w:r>
    </w:p>
    <w:p>
      <w:r>
        <w:t>Métricas:</w:t>
      </w:r>
    </w:p>
    <w:p>
      <w:pPr>
        <w:pStyle w:val="ListBullet"/>
        <w:keepLines w:val="1"/>
        <w:keepNext w:val="1"/>
        <w:widowControl w:val="1"/>
      </w:pPr>
      <w:r>
        <w:t>M5.1: % de reuniones de riesgo/comités donde se presentan métricas SIEM.</w:t>
      </w:r>
    </w:p>
    <w:p>
      <w:pPr>
        <w:pStyle w:val="ListBullet"/>
        <w:keepLines w:val="1"/>
        <w:keepNext w:val="1"/>
        <w:widowControl w:val="1"/>
      </w:pPr>
      <w:r>
        <w:t>M5.2: Frecuencia anual de incidentes graves.</w:t>
      </w:r>
    </w:p>
    <w:p>
      <w:pPr>
        <w:pStyle w:val="ListBullet"/>
        <w:keepLines w:val="1"/>
        <w:widowControl w:val="1"/>
      </w:pPr>
      <w:r>
        <w:t>M5.3: Estimación anual de pérdidas evitadas (en €) atribuibles a mejoras en detección/respuesta.</w:t>
      </w:r>
    </w:p>
    <w:p>
      <w:pPr>
        <w:pStyle w:val="Heading2"/>
        <w:keepNext/>
        <w:keepLines/>
      </w:pPr>
      <w:r>
        <w:rPr>
          <w:color w:val="0066CC"/>
        </w:rPr>
        <w:t>5. Uso del marco en práctica</w:t>
      </w:r>
    </w:p>
    <w:p>
      <w:pPr>
        <w:pStyle w:val="ListNumber"/>
        <w:keepLines w:val="1"/>
        <w:keepNext w:val="1"/>
        <w:widowControl w:val="1"/>
      </w:pPr>
      <w:r>
        <w:t>Definir o validar los objetivos G relevantes para el contexto nacional o sectorial.</w:t>
      </w:r>
    </w:p>
    <w:p>
      <w:pPr>
        <w:pStyle w:val="ListNumber"/>
        <w:keepLines w:val="1"/>
        <w:keepNext w:val="1"/>
        <w:widowControl w:val="1"/>
      </w:pPr>
      <w:r>
        <w:t>Derivar las preguntas Q que los decisores realmente quieren responder.</w:t>
      </w:r>
    </w:p>
    <w:p>
      <w:pPr>
        <w:pStyle w:val="ListNumber"/>
        <w:keepLines w:val="1"/>
        <w:keepNext w:val="1"/>
        <w:widowControl w:val="1"/>
      </w:pPr>
      <w:r>
        <w:t>Seleccionar un conjunto manejable de métricas M por objetivo.</w:t>
      </w:r>
    </w:p>
    <w:p>
      <w:pPr>
        <w:pStyle w:val="ListNumber"/>
        <w:keepLines w:val="1"/>
        <w:keepNext w:val="1"/>
        <w:widowControl w:val="1"/>
      </w:pPr>
      <w:r>
        <w:t>Evaluar cada métrica con PRAGMATIC y priorizar las de mayor calidad.</w:t>
      </w:r>
    </w:p>
    <w:p>
      <w:pPr>
        <w:pStyle w:val="ListNumber"/>
        <w:keepLines w:val="1"/>
        <w:keepNext w:val="1"/>
        <w:widowControl w:val="1"/>
      </w:pPr>
      <w:r>
        <w:t>Integrar las métricas resultantes en:</w:t>
      </w:r>
    </w:p>
    <w:p>
      <w:pPr>
        <w:pStyle w:val="ListNumber"/>
        <w:keepLines w:val="1"/>
        <w:keepNext w:val="1"/>
        <w:widowControl w:val="1"/>
      </w:pPr>
      <w:r>
        <w:t>Encuestas a organizaciones.</w:t>
      </w:r>
    </w:p>
    <w:p>
      <w:pPr>
        <w:pStyle w:val="ListNumber"/>
        <w:keepLines w:val="1"/>
        <w:keepNext w:val="1"/>
        <w:widowControl w:val="1"/>
      </w:pPr>
      <w:r>
        <w:t>Cuadros de mando nacionales/sectoriales.</w:t>
      </w:r>
    </w:p>
    <w:p>
      <w:pPr>
        <w:pStyle w:val="ListNumber"/>
        <w:keepLines w:val="1"/>
        <w:widowControl w:val="1"/>
      </w:pPr>
      <w:r>
        <w:t>Plantillas de IGM y ROI.</w:t>
      </w:r>
    </w:p>
    <w:p>
      <w:r>
        <w:rPr>
          <w:i/>
        </w:rPr>
        <w:t>Fin del marco integrativo.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