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 para la Encuesta de Indicadores SIEM</w:t>
      </w:r>
    </w:p>
    <w:p>
      <w:r>
        <w:t>Versión 1.0 – Apoyo a la recogida, análisis e interpretación de la encuesta sobre métricas SIEM en organizaciones con presencia en España.</w:t>
      </w:r>
    </w:p>
    <w:p>
      <w:pPr>
        <w:pStyle w:val="Heading2"/>
        <w:keepNext/>
        <w:keepLines/>
      </w:pPr>
      <w:r>
        <w:rPr>
          <w:color w:val="0066CC"/>
        </w:rPr>
        <w:t>1. Objetivo y alcance de la encuesta</w:t>
      </w:r>
    </w:p>
    <w:p>
      <w:r>
        <w:t>La encuesta pretende recolectar información estructurada sobre el grado de implantación, uso y aprovechamiento de plataformas SIEM y capacidades de monitorización de seguridad en organizaciones españolas y multinacionales con actividad relevante en España. Se alinea con las tendencias recogidas en informes de ENISA, la evolución regulatoria (NIS2, ENS, DORA) y las prácticas actuales de SOC en 2025–2026.</w:t>
      </w:r>
    </w:p>
    <w:p>
      <w:r>
        <w:t>La finalidad última es triple:</w:t>
      </w:r>
    </w:p>
    <w:p>
      <w:pPr>
        <w:pStyle w:val="ListNumber"/>
        <w:keepLines w:val="1"/>
        <w:keepNext w:val="1"/>
        <w:widowControl w:val="1"/>
      </w:pPr>
      <w:r>
        <w:t>Medir la madurez operativa de los SIEM (velocidad, calidad, cobertura).</w:t>
      </w:r>
    </w:p>
    <w:p>
      <w:pPr>
        <w:pStyle w:val="ListNumber"/>
        <w:keepLines w:val="1"/>
        <w:keepNext w:val="1"/>
        <w:widowControl w:val="1"/>
      </w:pPr>
      <w:r>
        <w:t>Evaluar el grado de alineamiento con requisitos normativos y de reporting.</w:t>
      </w:r>
    </w:p>
    <w:p>
      <w:pPr>
        <w:pStyle w:val="ListNumber"/>
        <w:keepLines w:val="1"/>
        <w:widowControl w:val="1"/>
      </w:pPr>
      <w:r>
        <w:t>Explorar hasta qué punto el SIEM se utiliza como motor de gestión de riesgo y no solo como repositorio de logs.</w:t>
      </w:r>
    </w:p>
    <w:p>
      <w:r>
        <w:t>La encuesta no pretende ser un examen, sino un espejo razonablemente fiel. La honestidad del encuestado pesa más que la perfección formal.</w:t>
      </w:r>
    </w:p>
    <w:p>
      <w:pPr>
        <w:pStyle w:val="Heading2"/>
        <w:keepNext/>
        <w:keepLines/>
      </w:pPr>
      <w:r>
        <w:rPr>
          <w:color w:val="0066CC"/>
        </w:rPr>
        <w:t>2. Población objetivo y estrategia de muestreo</w:t>
      </w:r>
    </w:p>
    <w:p>
      <w:pPr>
        <w:pStyle w:val="Heading3"/>
        <w:keepNext/>
        <w:keepLines/>
      </w:pPr>
      <w:r>
        <w:t>2.1 Población objetivo</w:t>
      </w:r>
    </w:p>
    <w:p>
      <w:r>
        <w:t>La población objetivo incluye:</w:t>
      </w:r>
    </w:p>
    <w:p>
      <w:pPr>
        <w:pStyle w:val="ListBullet"/>
        <w:keepLines w:val="1"/>
        <w:keepNext w:val="1"/>
        <w:widowControl w:val="1"/>
      </w:pPr>
      <w:r>
        <w:t>Operadores de servicios esenciales e importantes según NIS2.</w:t>
      </w:r>
    </w:p>
    <w:p>
      <w:pPr>
        <w:pStyle w:val="ListBullet"/>
        <w:keepLines w:val="1"/>
        <w:keepNext w:val="1"/>
        <w:widowControl w:val="1"/>
      </w:pPr>
      <w:r>
        <w:t>Organizaciones sujetas al Esquema Nacional de Seguridad.</w:t>
      </w:r>
    </w:p>
    <w:p>
      <w:pPr>
        <w:pStyle w:val="ListBullet"/>
        <w:keepLines w:val="1"/>
        <w:keepNext w:val="1"/>
        <w:widowControl w:val="1"/>
      </w:pPr>
      <w:r>
        <w:t>Entidades financieras y aseguradoras relevantes por su impacto sistémico.</w:t>
      </w:r>
    </w:p>
    <w:p>
      <w:pPr>
        <w:pStyle w:val="ListBullet"/>
        <w:keepLines w:val="1"/>
        <w:keepNext w:val="1"/>
        <w:widowControl w:val="1"/>
      </w:pPr>
      <w:r>
        <w:t>Operadores de infraestructuras críticas (energía, transporte, comunicaciones, sanidad, agua).</w:t>
      </w:r>
    </w:p>
    <w:p>
      <w:pPr>
        <w:pStyle w:val="ListBullet"/>
        <w:keepLines w:val="1"/>
        <w:keepNext w:val="1"/>
        <w:widowControl w:val="1"/>
      </w:pPr>
      <w:r>
        <w:t>Grandes corporaciones con SOC/SIEM propios o externalizados.</w:t>
      </w:r>
    </w:p>
    <w:p>
      <w:pPr>
        <w:pStyle w:val="ListBullet"/>
        <w:keepLines w:val="1"/>
        <w:widowControl w:val="1"/>
      </w:pPr>
      <w:r>
        <w:t>Entidades del sector público estatal, autonómico y local con capacidades de monitorización.</w:t>
      </w:r>
    </w:p>
    <w:p>
      <w:r>
        <w:t>El foco geográfico es España, pero se aceptan respuestas de grupos multinacionales siempre que puedan caracterizar el ámbito español.</w:t>
      </w:r>
    </w:p>
    <w:p>
      <w:pPr>
        <w:pStyle w:val="Heading3"/>
        <w:keepNext/>
        <w:keepLines/>
      </w:pPr>
      <w:r>
        <w:t>2.2 Muestreo</w:t>
      </w:r>
    </w:p>
    <w:p>
      <w:r>
        <w:t>Idealmente se utilizará un muestreo estratificado por:</w:t>
      </w:r>
    </w:p>
    <w:p>
      <w:pPr>
        <w:pStyle w:val="ListBullet"/>
        <w:keepLines w:val="1"/>
        <w:keepNext w:val="1"/>
        <w:widowControl w:val="1"/>
      </w:pPr>
      <w:r>
        <w:t>Sector (energía, finanzas, administración, transporte, sanidad, etc.).</w:t>
      </w:r>
    </w:p>
    <w:p>
      <w:pPr>
        <w:pStyle w:val="ListBullet"/>
        <w:keepLines w:val="1"/>
        <w:keepNext w:val="1"/>
        <w:widowControl w:val="1"/>
      </w:pPr>
      <w:r>
        <w:t>Tamaño (número de empleados).</w:t>
      </w:r>
    </w:p>
    <w:p>
      <w:pPr>
        <w:pStyle w:val="ListBullet"/>
        <w:keepLines w:val="1"/>
        <w:widowControl w:val="1"/>
      </w:pPr>
      <w:r>
        <w:t>Tipo de entidad (pública, privada, operador esencial/importante, etc.).</w:t>
      </w:r>
    </w:p>
    <w:p>
      <w:r>
        <w:t>Se recomienda asegurar:</w:t>
      </w:r>
    </w:p>
    <w:p>
      <w:pPr>
        <w:pStyle w:val="ListBullet"/>
        <w:keepLines w:val="1"/>
        <w:keepNext w:val="1"/>
        <w:widowControl w:val="1"/>
      </w:pPr>
      <w:r>
        <w:t>Representación mínima en cada sector crítico.</w:t>
      </w:r>
    </w:p>
    <w:p>
      <w:pPr>
        <w:pStyle w:val="ListBullet"/>
        <w:keepLines w:val="1"/>
        <w:widowControl w:val="1"/>
      </w:pPr>
      <w:r>
        <w:t>Inclusión equilibrada de distintos modelos de SOC (interno, híbrido, externalizado).</w:t>
      </w:r>
    </w:p>
    <w:p>
      <w:r>
        <w:t>En la práctica, se podrá combinar:</w:t>
      </w:r>
    </w:p>
    <w:p>
      <w:pPr>
        <w:pStyle w:val="ListBullet"/>
        <w:keepLines w:val="1"/>
        <w:keepNext w:val="1"/>
        <w:widowControl w:val="1"/>
      </w:pPr>
      <w:r>
        <w:t>Invitaciones dirigidas (a través de asociaciones, CERT, reguladores).</w:t>
      </w:r>
    </w:p>
    <w:p>
      <w:pPr>
        <w:pStyle w:val="ListBullet"/>
        <w:keepLines w:val="1"/>
        <w:widowControl w:val="1"/>
      </w:pPr>
      <w:r>
        <w:t>Difusión abierta controlada (webs institucionales, foros profesionales).</w:t>
      </w:r>
    </w:p>
    <w:p>
      <w:pPr>
        <w:pStyle w:val="Heading2"/>
        <w:keepNext/>
        <w:keepLines/>
      </w:pPr>
      <w:r>
        <w:rPr>
          <w:color w:val="0066CC"/>
        </w:rPr>
        <w:t>3. Estructura de la encuesta y lógica de secciones</w:t>
      </w:r>
    </w:p>
    <w:p>
      <w:r>
        <w:t>La encuesta se organiza en nueve secciones que siguen un hilo lógico:</w:t>
      </w:r>
    </w:p>
    <w:p>
      <w:pPr>
        <w:pStyle w:val="ListNumber"/>
        <w:keepLines w:val="1"/>
        <w:keepNext w:val="1"/>
        <w:widowControl w:val="1"/>
      </w:pPr>
      <w:r>
        <w:t xml:space="preserve">Perfil: caracterización básica de la organización y del encuestado.  </w:t>
      </w:r>
    </w:p>
    <w:p>
      <w:pPr>
        <w:pStyle w:val="ListNumber"/>
        <w:keepLines w:val="1"/>
        <w:keepNext w:val="1"/>
        <w:widowControl w:val="1"/>
      </w:pPr>
      <w:r>
        <w:t xml:space="preserve">Arquitectura SIEM: tipo de solución, cobertura de fuentes, calidad de datos.  </w:t>
      </w:r>
    </w:p>
    <w:p>
      <w:pPr>
        <w:pStyle w:val="ListNumber"/>
        <w:keepLines w:val="1"/>
        <w:keepNext w:val="1"/>
        <w:widowControl w:val="1"/>
      </w:pPr>
      <w:r>
        <w:t xml:space="preserve">Indicadores operativos: velocidad, calidad, cobertura.  </w:t>
      </w:r>
    </w:p>
    <w:p>
      <w:pPr>
        <w:pStyle w:val="ListNumber"/>
        <w:keepLines w:val="1"/>
        <w:keepNext w:val="1"/>
        <w:widowControl w:val="1"/>
      </w:pPr>
      <w:r>
        <w:t xml:space="preserve">Cumplimiento normativo: uso del SIEM para NIS2, ENS, DORA, etc.  </w:t>
      </w:r>
    </w:p>
    <w:p>
      <w:pPr>
        <w:pStyle w:val="ListNumber"/>
        <w:keepLines w:val="1"/>
        <w:keepNext w:val="1"/>
        <w:widowControl w:val="1"/>
      </w:pPr>
      <w:r>
        <w:t xml:space="preserve">IA y automatización: nivel de modernización del SOC.  </w:t>
      </w:r>
    </w:p>
    <w:p>
      <w:pPr>
        <w:pStyle w:val="ListNumber"/>
        <w:keepLines w:val="1"/>
        <w:keepNext w:val="1"/>
        <w:widowControl w:val="1"/>
      </w:pPr>
      <w:r>
        <w:t xml:space="preserve">OT e infraestructuras específicas: atención a entornos industriales y 5G.  </w:t>
      </w:r>
    </w:p>
    <w:p>
      <w:pPr>
        <w:pStyle w:val="ListNumber"/>
        <w:keepLines w:val="1"/>
        <w:keepNext w:val="1"/>
        <w:widowControl w:val="1"/>
      </w:pPr>
      <w:r>
        <w:t xml:space="preserve">Riesgo e impacto: uso del SIEM en claves actuariales y de negocio.  </w:t>
      </w:r>
    </w:p>
    <w:p>
      <w:pPr>
        <w:pStyle w:val="ListNumber"/>
        <w:keepLines w:val="1"/>
        <w:keepNext w:val="1"/>
        <w:widowControl w:val="1"/>
      </w:pPr>
      <w:r>
        <w:t xml:space="preserve">Ecosistema nacional: colaboración con CERT, alineamiento con marcos europeos.  </w:t>
      </w:r>
    </w:p>
    <w:p>
      <w:pPr>
        <w:pStyle w:val="ListNumber"/>
        <w:keepLines w:val="1"/>
        <w:widowControl w:val="1"/>
      </w:pPr>
      <w:r>
        <w:t>Preguntas abiertas: espacio para matices, ideas y catarsis.</w:t>
      </w:r>
    </w:p>
    <w:p>
      <w:r>
        <w:t>Esta estructura permite:</w:t>
      </w:r>
    </w:p>
    <w:p>
      <w:pPr>
        <w:pStyle w:val="ListBullet"/>
        <w:keepLines w:val="1"/>
        <w:keepNext w:val="1"/>
        <w:widowControl w:val="1"/>
      </w:pPr>
      <w:r>
        <w:t>Análisis segmentado por temática.</w:t>
      </w:r>
    </w:p>
    <w:p>
      <w:pPr>
        <w:pStyle w:val="ListBullet"/>
        <w:keepLines w:val="1"/>
        <w:keepNext w:val="1"/>
        <w:widowControl w:val="1"/>
      </w:pPr>
      <w:r>
        <w:t>Mapeo sencillo a requisitos normativos.</w:t>
      </w:r>
    </w:p>
    <w:p>
      <w:pPr>
        <w:pStyle w:val="ListBullet"/>
        <w:keepLines w:val="1"/>
        <w:widowControl w:val="1"/>
      </w:pPr>
      <w:r>
        <w:t>Construcción de indicadores globales de madurez (IGM) y de uso estratégico del SIEM.</w:t>
      </w:r>
    </w:p>
    <w:p>
      <w:pPr>
        <w:pStyle w:val="Heading2"/>
        <w:keepNext/>
        <w:keepLines/>
      </w:pPr>
      <w:r>
        <w:rPr>
          <w:color w:val="0066CC"/>
        </w:rPr>
        <w:t>4. Escalas de respuesta y criterios de interpretación</w:t>
      </w:r>
    </w:p>
    <w:p>
      <w:pPr>
        <w:pStyle w:val="Heading3"/>
        <w:keepNext/>
        <w:keepLines/>
      </w:pPr>
      <w:r>
        <w:t>4.1 Escalas de madurez (0–5)</w:t>
      </w:r>
    </w:p>
    <w:p>
      <w:r>
        <w:t>La encuesta utiliza una escala de 0 a 5 en varias preguntas para medir madurez. Una interpretación sugerida es:</w:t>
      </w:r>
    </w:p>
    <w:p>
      <w:pPr>
        <w:pStyle w:val="ListBullet"/>
        <w:keepLines w:val="1"/>
        <w:keepNext w:val="1"/>
        <w:widowControl w:val="1"/>
      </w:pPr>
      <w:r>
        <w:t>0: inexistente; ningún proceso, métrica o capacidad identificable.</w:t>
      </w:r>
    </w:p>
    <w:p>
      <w:pPr>
        <w:pStyle w:val="ListBullet"/>
        <w:keepLines w:val="1"/>
        <w:keepNext w:val="1"/>
        <w:widowControl w:val="1"/>
      </w:pPr>
      <w:r>
        <w:t>1: muy incipiente; iniciativas aisladas, sin estandarización ni seguimiento.</w:t>
      </w:r>
    </w:p>
    <w:p>
      <w:pPr>
        <w:pStyle w:val="ListBullet"/>
        <w:keepLines w:val="1"/>
        <w:keepNext w:val="1"/>
        <w:widowControl w:val="1"/>
      </w:pPr>
      <w:r>
        <w:t>2: parcial; proceso definido en algunos ámbitos, sin cobertura global.</w:t>
      </w:r>
    </w:p>
    <w:p>
      <w:pPr>
        <w:pStyle w:val="ListBullet"/>
        <w:keepLines w:val="1"/>
        <w:keepNext w:val="1"/>
        <w:widowControl w:val="1"/>
      </w:pPr>
      <w:r>
        <w:t>3: definido; proceso implantado de forma mayoritaria, con seguimiento básico.</w:t>
      </w:r>
    </w:p>
    <w:p>
      <w:pPr>
        <w:pStyle w:val="ListBullet"/>
        <w:keepLines w:val="1"/>
        <w:keepNext w:val="1"/>
        <w:widowControl w:val="1"/>
      </w:pPr>
      <w:r>
        <w:t>4: integrado; proceso consolidado, con indicadores y mejora continua.</w:t>
      </w:r>
    </w:p>
    <w:p>
      <w:pPr>
        <w:pStyle w:val="ListBullet"/>
        <w:keepLines w:val="1"/>
        <w:widowControl w:val="1"/>
      </w:pPr>
      <w:r>
        <w:t>5: optimizado; proceso automatizado, con revisión periódica y alineado con negocio.</w:t>
      </w:r>
    </w:p>
    <w:p>
      <w:r>
        <w:t>Estas puntuaciones se pueden promediar por sección (por ejemplo, “madurez de calidad de datos”) o globalmente para crear un índice de madurez SIEM/SOC.</w:t>
      </w:r>
    </w:p>
    <w:p>
      <w:pPr>
        <w:pStyle w:val="Heading3"/>
        <w:keepNext/>
        <w:keepLines/>
      </w:pPr>
      <w:r>
        <w:t>4.2 Escalas porcentuales y rangos</w:t>
      </w:r>
    </w:p>
    <w:p>
      <w:r>
        <w:t>Las preguntas de rango porcentual (por ejemplo, cobertura de activos, técnicas MITRE ATT&amp;CK, conversión alerta‑incidente) están diseñadas para evitar una falsa precisión. Se recomiendan interpretaciones:</w:t>
      </w:r>
    </w:p>
    <w:p>
      <w:pPr>
        <w:pStyle w:val="ListBullet"/>
        <w:keepLines w:val="1"/>
        <w:keepNext w:val="1"/>
        <w:widowControl w:val="1"/>
      </w:pPr>
      <w:r>
        <w:t>0–20 %: cobertura muy baja; situación de riesgo evidente.</w:t>
      </w:r>
    </w:p>
    <w:p>
      <w:pPr>
        <w:pStyle w:val="ListBullet"/>
        <w:keepLines w:val="1"/>
        <w:keepNext w:val="1"/>
        <w:widowControl w:val="1"/>
      </w:pPr>
      <w:r>
        <w:t>21–40 %: cobertura insuficiente; prioridad alta de mejora.</w:t>
      </w:r>
    </w:p>
    <w:p>
      <w:pPr>
        <w:pStyle w:val="ListBullet"/>
        <w:keepLines w:val="1"/>
        <w:keepNext w:val="1"/>
        <w:widowControl w:val="1"/>
      </w:pPr>
      <w:r>
        <w:t>41–60 %: cobertura moderada; se requiere plan de expansión.</w:t>
      </w:r>
    </w:p>
    <w:p>
      <w:pPr>
        <w:pStyle w:val="ListBullet"/>
        <w:keepLines w:val="1"/>
        <w:keepNext w:val="1"/>
        <w:widowControl w:val="1"/>
      </w:pPr>
      <w:r>
        <w:t>61–80 %: cobertura buena; prioridad en calidad y uso.</w:t>
      </w:r>
    </w:p>
    <w:p>
      <w:pPr>
        <w:pStyle w:val="ListBullet"/>
        <w:keepLines w:val="1"/>
        <w:keepNext w:val="1"/>
        <w:widowControl w:val="1"/>
      </w:pPr>
      <w:r>
        <w:t>81–95 %: cobertura muy buena; enfoque en optimización.</w:t>
      </w:r>
    </w:p>
    <w:p>
      <w:pPr>
        <w:pStyle w:val="ListBullet"/>
        <w:keepLines w:val="1"/>
        <w:widowControl w:val="1"/>
      </w:pPr>
      <w:r>
        <w:br/>
        <w:br/>
        <w:t>95 %: cobertura casi total; sospechar de optimismo excesivo y verificar.</w:t>
        <w:br/>
        <w:br/>
      </w:r>
    </w:p>
    <w:p>
      <w:r>
        <w:t>95 %: cobertura casi total; sospechar de optimismo excesivo y verificar.</w:t>
      </w:r>
    </w:p>
    <w:p>
      <w:pPr>
        <w:pStyle w:val="Heading2"/>
        <w:keepNext/>
        <w:keepLines/>
      </w:pPr>
      <w:r>
        <w:rPr>
          <w:color w:val="0066CC"/>
        </w:rPr>
        <w:t>5. Mapeo conceptual a marcos y buenas prácticas</w:t>
      </w:r>
    </w:p>
    <w:p>
      <w:r>
        <w:t>Aunque la encuesta no recita normas, sus secciones beben de:</w:t>
      </w:r>
    </w:p>
    <w:p>
      <w:pPr>
        <w:pStyle w:val="ListBullet"/>
        <w:keepLines w:val="1"/>
        <w:keepNext w:val="1"/>
        <w:widowControl w:val="1"/>
      </w:pPr>
      <w:r>
        <w:t>Guías de ENISA sobre creación y operación de SOC y CSIRT.</w:t>
      </w:r>
    </w:p>
    <w:p>
      <w:pPr>
        <w:pStyle w:val="ListBullet"/>
        <w:keepLines w:val="1"/>
        <w:keepNext w:val="1"/>
        <w:widowControl w:val="1"/>
      </w:pPr>
      <w:r>
        <w:t>Requisitos de NIS2 en materia de gestión de riesgos y notificación de incidentes.</w:t>
      </w:r>
    </w:p>
    <w:p>
      <w:pPr>
        <w:pStyle w:val="ListBullet"/>
        <w:keepLines w:val="1"/>
        <w:keepNext w:val="1"/>
        <w:widowControl w:val="1"/>
      </w:pPr>
      <w:r>
        <w:t>ENS como marco de referencia para el sector público español.</w:t>
      </w:r>
    </w:p>
    <w:p>
      <w:pPr>
        <w:pStyle w:val="ListBullet"/>
        <w:keepLines w:val="1"/>
        <w:keepNext w:val="1"/>
        <w:widowControl w:val="1"/>
      </w:pPr>
      <w:r>
        <w:t>Tendencias de SIEM moderno (cloud‑native, integración con SOAR, IA).</w:t>
      </w:r>
    </w:p>
    <w:p>
      <w:pPr>
        <w:pStyle w:val="ListBullet"/>
        <w:keepLines w:val="1"/>
        <w:widowControl w:val="1"/>
      </w:pPr>
      <w:r>
        <w:t>Índices de capacidad nacional como el NCSI y marcos de madurez de ciberseguridad.</w:t>
      </w:r>
    </w:p>
    <w:p>
      <w:r>
        <w:t>La Guía de Mapeo detallado (documento independiente) desglosa, pregunta a pregunta, la conexión con artículos, controles o recomendaciones concretas.</w:t>
      </w:r>
    </w:p>
    <w:p>
      <w:pPr>
        <w:pStyle w:val="Heading2"/>
        <w:keepNext/>
        <w:keepLines/>
      </w:pPr>
      <w:r>
        <w:rPr>
          <w:color w:val="0066CC"/>
        </w:rPr>
        <w:t>6. Procedimiento de recogida de datos</w:t>
      </w:r>
    </w:p>
    <w:p>
      <w:pPr>
        <w:pStyle w:val="Heading3"/>
        <w:keepNext/>
        <w:keepLines/>
      </w:pPr>
      <w:r>
        <w:t>6.1 Formato de la encuesta</w:t>
      </w:r>
    </w:p>
    <w:p>
      <w:r>
        <w:t>Se recomienda implementar la encuesta en:</w:t>
      </w:r>
    </w:p>
    <w:p>
      <w:pPr>
        <w:pStyle w:val="ListBullet"/>
        <w:keepLines w:val="1"/>
        <w:keepNext w:val="1"/>
        <w:widowControl w:val="1"/>
      </w:pPr>
      <w:r>
        <w:t>Plataforma online segura (por ejemplo, herramienta de cuestionarios con autenticación).</w:t>
      </w:r>
    </w:p>
    <w:p>
      <w:pPr>
        <w:pStyle w:val="ListBullet"/>
        <w:keepLines w:val="1"/>
        <w:widowControl w:val="1"/>
      </w:pPr>
      <w:r>
        <w:t>Versión PDF/Markdown para cumplimentación offline, con posterior volcado manual o automatizado.</w:t>
      </w:r>
    </w:p>
    <w:p>
      <w:r>
        <w:t>Requisitos mínimos:</w:t>
      </w:r>
    </w:p>
    <w:p>
      <w:pPr>
        <w:pStyle w:val="ListBullet"/>
        <w:keepLines w:val="1"/>
        <w:keepNext w:val="1"/>
        <w:widowControl w:val="1"/>
      </w:pPr>
      <w:r>
        <w:t>Conexión cifrada (HTTPS).</w:t>
      </w:r>
    </w:p>
    <w:p>
      <w:pPr>
        <w:pStyle w:val="ListBullet"/>
        <w:keepLines w:val="1"/>
        <w:keepNext w:val="1"/>
        <w:widowControl w:val="1"/>
      </w:pPr>
      <w:r>
        <w:t>Posibilidad de guardar borradores.</w:t>
      </w:r>
    </w:p>
    <w:p>
      <w:pPr>
        <w:pStyle w:val="ListBullet"/>
        <w:keepLines w:val="1"/>
        <w:keepNext w:val="1"/>
        <w:widowControl w:val="1"/>
      </w:pPr>
      <w:r>
        <w:t>Identificador anónimo o pseudónimo para análisis (si aplica).</w:t>
      </w:r>
    </w:p>
    <w:p>
      <w:pPr>
        <w:pStyle w:val="ListBullet"/>
        <w:keepLines w:val="1"/>
        <w:widowControl w:val="1"/>
      </w:pPr>
      <w:r>
        <w:t>Registro de fecha y versión del cuestionario.</w:t>
      </w:r>
    </w:p>
    <w:p>
      <w:pPr>
        <w:pStyle w:val="Heading3"/>
        <w:keepNext/>
        <w:keepLines/>
      </w:pPr>
      <w:r>
        <w:t>6.2 Consentimiento y confidencialidad</w:t>
      </w:r>
    </w:p>
    <w:p>
      <w:r>
        <w:t>Antes de iniciar la encuesta:</w:t>
      </w:r>
    </w:p>
    <w:p>
      <w:pPr>
        <w:pStyle w:val="ListBullet"/>
        <w:keepLines w:val="1"/>
        <w:keepNext w:val="1"/>
        <w:widowControl w:val="1"/>
      </w:pPr>
      <w:r>
        <w:t>Informar claramente del propósito del estudio.</w:t>
      </w:r>
    </w:p>
    <w:p>
      <w:pPr>
        <w:pStyle w:val="ListBullet"/>
        <w:keepLines w:val="1"/>
        <w:keepNext w:val="1"/>
        <w:widowControl w:val="1"/>
      </w:pPr>
      <w:r>
        <w:t>Especificar si los resultados se presentarán agregados y anonimizados.</w:t>
      </w:r>
    </w:p>
    <w:p>
      <w:pPr>
        <w:pStyle w:val="ListBullet"/>
        <w:keepLines w:val="1"/>
        <w:keepNext w:val="1"/>
        <w:widowControl w:val="1"/>
      </w:pPr>
      <w:r>
        <w:t>Definir si la organización será identificable (por ejemplo, solo por sector y tamaño).</w:t>
      </w:r>
    </w:p>
    <w:p>
      <w:pPr>
        <w:pStyle w:val="ListBullet"/>
        <w:keepLines w:val="1"/>
        <w:widowControl w:val="1"/>
      </w:pPr>
      <w:r>
        <w:t>Solicitar consentimiento explícito para el tratamiento de datos.</w:t>
      </w:r>
    </w:p>
    <w:p>
      <w:r>
        <w:t>Buenas prácticas:</w:t>
      </w:r>
    </w:p>
    <w:p>
      <w:pPr>
        <w:pStyle w:val="ListBullet"/>
        <w:keepLines w:val="1"/>
        <w:keepNext w:val="1"/>
        <w:widowControl w:val="1"/>
      </w:pPr>
      <w:r>
        <w:t>Evitar recolectar datos personales innecesarios.</w:t>
      </w:r>
    </w:p>
    <w:p>
      <w:pPr>
        <w:pStyle w:val="ListBullet"/>
        <w:keepLines w:val="1"/>
        <w:keepNext w:val="1"/>
        <w:widowControl w:val="1"/>
      </w:pPr>
      <w:r>
        <w:t>No solicitar información técnica excesivamente detallada sobre vulnerabilidades concretas.</w:t>
      </w:r>
    </w:p>
    <w:p>
      <w:pPr>
        <w:pStyle w:val="ListBullet"/>
        <w:keepLines w:val="1"/>
        <w:widowControl w:val="1"/>
      </w:pPr>
      <w:r>
        <w:t>Priorizar siempre la seguridad de la información frente al ansia académica.</w:t>
      </w:r>
    </w:p>
    <w:p>
      <w:pPr>
        <w:pStyle w:val="Heading2"/>
        <w:keepNext/>
        <w:keepLines/>
      </w:pPr>
      <w:r>
        <w:rPr>
          <w:color w:val="0066CC"/>
        </w:rPr>
        <w:t>7. Cálculo del Índice Global de Madurez (IGM)</w:t>
      </w:r>
    </w:p>
    <w:p>
      <w:pPr>
        <w:pStyle w:val="Heading3"/>
        <w:keepNext/>
        <w:keepLines/>
      </w:pPr>
      <w:r>
        <w:t>7.1 Variables básicas</w:t>
      </w:r>
    </w:p>
    <w:p>
      <w:r>
        <w:t>A partir de las respuestas, se pueden construir subíndices:</w:t>
      </w:r>
    </w:p>
    <w:p>
      <w:pPr>
        <w:pStyle w:val="ListBullet"/>
        <w:keepLines w:val="1"/>
        <w:keepNext w:val="1"/>
        <w:widowControl w:val="1"/>
      </w:pPr>
      <w:r>
        <w:t xml:space="preserve">IGM_Arquitectura: calidad de datos, cobertura de fuentes, integración de identidad.  </w:t>
      </w:r>
    </w:p>
    <w:p>
      <w:pPr>
        <w:pStyle w:val="ListBullet"/>
        <w:keepLines w:val="1"/>
        <w:keepNext w:val="1"/>
        <w:widowControl w:val="1"/>
      </w:pPr>
      <w:r>
        <w:t xml:space="preserve">IGM_Operación: MTTD/MTTR, falsos positivos, cobertura MITRE ATT&amp;CK, latencias.  </w:t>
      </w:r>
    </w:p>
    <w:p>
      <w:pPr>
        <w:pStyle w:val="ListBullet"/>
        <w:keepLines w:val="1"/>
        <w:keepNext w:val="1"/>
        <w:widowControl w:val="1"/>
      </w:pPr>
      <w:r>
        <w:t xml:space="preserve">IGM_Cumplimiento: uso del SIEM para NIS2/ENS, métricas de notificación, mapeo controles.  </w:t>
      </w:r>
    </w:p>
    <w:p>
      <w:pPr>
        <w:pStyle w:val="ListBullet"/>
        <w:keepLines w:val="1"/>
        <w:keepNext w:val="1"/>
        <w:widowControl w:val="1"/>
      </w:pPr>
      <w:r>
        <w:t xml:space="preserve">IGM_IA_SOAR: uso de analítica avanzada, automatización y KPIs asociados.  </w:t>
      </w:r>
    </w:p>
    <w:p>
      <w:pPr>
        <w:pStyle w:val="ListBullet"/>
        <w:keepLines w:val="1"/>
        <w:keepNext w:val="1"/>
        <w:widowControl w:val="1"/>
      </w:pPr>
      <w:r>
        <w:t xml:space="preserve">IGM_OT: monitorización y métricas específicas en entornos industriales.  </w:t>
      </w:r>
    </w:p>
    <w:p>
      <w:pPr>
        <w:pStyle w:val="ListBullet"/>
        <w:keepLines w:val="1"/>
        <w:widowControl w:val="1"/>
      </w:pPr>
      <w:r>
        <w:t xml:space="preserve">IGM_Riesgo: integración con gestión de riesgos y ROI de seguridad.  </w:t>
      </w:r>
    </w:p>
    <w:p>
      <w:r>
        <w:t>Cada subíndice puede ser la media (o media ponderada) de las preguntas de la sección correspondiente. El IGM global puede definirse como:</w:t>
      </w:r>
    </w:p>
    <w:p>
      <w:r>
        <w:t>[</w:t>
      </w:r>
      <w:r/>
      <w:r>
        <w:br/>
        <w:t>IGM_{global} = \frac{\sum_{i} w_i \cdot IGM_i}{\sum_{i} w_i}</w:t>
      </w:r>
      <w:r/>
      <w:r>
        <w:br/>
        <w:t>]</w:t>
      </w:r>
    </w:p>
    <w:p>
      <w:r>
        <w:t>donde (w_i) son pesos ajustables según el contexto (por ejemplo, mayor peso a operación y riesgo en operadores esenciales).</w:t>
      </w:r>
    </w:p>
    <w:p>
      <w:pPr>
        <w:pStyle w:val="Heading3"/>
        <w:keepNext/>
        <w:keepLines/>
      </w:pPr>
      <w:r>
        <w:t>7.2 Normalización y comparabilidad</w:t>
      </w:r>
    </w:p>
    <w:p>
      <w:r>
        <w:t>Para comparar entre organizaciones:</w:t>
      </w:r>
    </w:p>
    <w:p>
      <w:pPr>
        <w:pStyle w:val="ListBullet"/>
        <w:keepLines w:val="1"/>
        <w:keepNext w:val="1"/>
        <w:widowControl w:val="1"/>
      </w:pPr>
      <w:r>
        <w:t>Normalizar los subíndices a una escala común (0–100).</w:t>
      </w:r>
    </w:p>
    <w:p>
      <w:pPr>
        <w:pStyle w:val="ListBullet"/>
        <w:keepLines w:val="1"/>
        <w:keepNext w:val="1"/>
        <w:widowControl w:val="1"/>
      </w:pPr>
      <w:r>
        <w:t>Documentar la fórmula utilizada y mantenerla estable a lo largo del tiempo.</w:t>
      </w:r>
    </w:p>
    <w:p>
      <w:pPr>
        <w:pStyle w:val="ListBullet"/>
        <w:keepLines w:val="1"/>
        <w:widowControl w:val="1"/>
      </w:pPr>
      <w:r>
        <w:t>Explicitar si se asignan pesos diferentes según sector o criticidad.</w:t>
      </w:r>
    </w:p>
    <w:p>
      <w:r>
        <w:t>Se recomienda una aproximación conservadora: empezar con pesos iguales y, más adelante, refinar según evidencia y consenso experto.</w:t>
      </w:r>
    </w:p>
    <w:p>
      <w:pPr>
        <w:pStyle w:val="Heading2"/>
        <w:keepNext/>
        <w:keepLines/>
      </w:pPr>
      <w:r>
        <w:rPr>
          <w:color w:val="0066CC"/>
        </w:rPr>
        <w:t>8. Enfoque para el cálculo de ROI</w:t>
      </w:r>
    </w:p>
    <w:p>
      <w:r>
        <w:t>El ROI de proyectos SIEM/SOC puede aproximarse a partir de:</w:t>
      </w:r>
    </w:p>
    <w:p>
      <w:pPr>
        <w:pStyle w:val="ListBullet"/>
        <w:keepLines w:val="1"/>
        <w:keepNext w:val="1"/>
        <w:widowControl w:val="1"/>
      </w:pPr>
      <w:r>
        <w:t>Reducción de incidentes graves (frecuencia, impacto).</w:t>
      </w:r>
    </w:p>
    <w:p>
      <w:pPr>
        <w:pStyle w:val="ListBullet"/>
        <w:keepLines w:val="1"/>
        <w:keepNext w:val="1"/>
        <w:widowControl w:val="1"/>
      </w:pPr>
      <w:r>
        <w:t>Reducción de tiempos de detección y respuesta.</w:t>
      </w:r>
    </w:p>
    <w:p>
      <w:pPr>
        <w:pStyle w:val="ListBullet"/>
        <w:keepLines w:val="1"/>
        <w:keepNext w:val="1"/>
        <w:widowControl w:val="1"/>
      </w:pPr>
      <w:r>
        <w:t>Ahorros derivados de automatización (horas de analista liberadas).</w:t>
      </w:r>
    </w:p>
    <w:p>
      <w:pPr>
        <w:pStyle w:val="ListBullet"/>
        <w:keepLines w:val="1"/>
        <w:widowControl w:val="1"/>
      </w:pPr>
      <w:r>
        <w:t>Evitación de multas, sanciones o costes reputacionales ligados a incumplimiento.</w:t>
      </w:r>
    </w:p>
    <w:p>
      <w:r>
        <w:t>En la plantilla de Excel se propone una estructura para:</w:t>
      </w:r>
    </w:p>
    <w:p>
      <w:pPr>
        <w:pStyle w:val="ListNumber"/>
        <w:keepLines w:val="1"/>
        <w:keepNext w:val="1"/>
        <w:widowControl w:val="1"/>
      </w:pPr>
      <w:r>
        <w:t xml:space="preserve">Estimar pérdidas evitadas (basadas en incidentes históricos o escenarios).  </w:t>
      </w:r>
    </w:p>
    <w:p>
      <w:pPr>
        <w:pStyle w:val="ListNumber"/>
        <w:keepLines w:val="1"/>
        <w:keepNext w:val="1"/>
        <w:widowControl w:val="1"/>
      </w:pPr>
      <w:r>
        <w:t xml:space="preserve">Calcular costes directos e indirectos del SIEM/SOC.  </w:t>
      </w:r>
    </w:p>
    <w:p>
      <w:pPr>
        <w:pStyle w:val="ListNumber"/>
        <w:keepLines w:val="1"/>
        <w:widowControl w:val="1"/>
      </w:pPr>
      <w:r>
        <w:t>Obtener ratios como ROI anual, período de recuperación, coste por incidente evitado.</w:t>
      </w:r>
    </w:p>
    <w:p>
      <w:r>
        <w:t>La encuesta proporciona algunos de los inputs (madurez, niveles de automatización, uso para decisiones de inversión), que pueden combinarse con datos internos de la organización.</w:t>
      </w:r>
    </w:p>
    <w:p>
      <w:pPr>
        <w:pStyle w:val="Heading2"/>
        <w:keepNext/>
        <w:keepLines/>
      </w:pPr>
      <w:r>
        <w:rPr>
          <w:color w:val="0066CC"/>
        </w:rPr>
        <w:t>9. Análisis y explotación de resultados</w:t>
      </w:r>
    </w:p>
    <w:p>
      <w:pPr>
        <w:pStyle w:val="Heading3"/>
        <w:keepNext/>
        <w:keepLines/>
      </w:pPr>
      <w:r>
        <w:t>9.1 Análisis descriptivo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 xml:space="preserve">Estadísticos básicos (media, mediana, rango) para cada KPI de encuesta.  </w:t>
      </w:r>
    </w:p>
    <w:p>
      <w:pPr>
        <w:pStyle w:val="ListBullet"/>
        <w:keepLines w:val="1"/>
        <w:keepNext w:val="1"/>
        <w:widowControl w:val="1"/>
      </w:pPr>
      <w:r>
        <w:t xml:space="preserve">Segmentación por sector, tamaño, tipo de SOC y sujeción a NIS2.  </w:t>
      </w:r>
    </w:p>
    <w:p>
      <w:pPr>
        <w:pStyle w:val="ListBullet"/>
        <w:keepLines w:val="1"/>
        <w:widowControl w:val="1"/>
      </w:pPr>
      <w:r>
        <w:t>Identificación de “puntos ciegos” (por ejemplo, alta inversión en SIEM pero ausencia de métricas de calidad).</w:t>
      </w:r>
    </w:p>
    <w:p>
      <w:pPr>
        <w:pStyle w:val="Heading3"/>
        <w:keepNext/>
        <w:keepLines/>
      </w:pPr>
      <w:r>
        <w:t>9.2 Análisis comparativo</w:t>
      </w:r>
    </w:p>
    <w:p>
      <w:r>
        <w:t>Posibles líneas:</w:t>
      </w:r>
    </w:p>
    <w:p>
      <w:pPr>
        <w:pStyle w:val="ListBullet"/>
        <w:keepLines w:val="1"/>
        <w:keepNext w:val="1"/>
        <w:widowControl w:val="1"/>
      </w:pPr>
      <w:r>
        <w:t xml:space="preserve">Comparar operadores esenciales vs. importantes.  </w:t>
      </w:r>
    </w:p>
    <w:p>
      <w:pPr>
        <w:pStyle w:val="ListBullet"/>
        <w:keepLines w:val="1"/>
        <w:keepNext w:val="1"/>
        <w:widowControl w:val="1"/>
      </w:pPr>
      <w:r>
        <w:t xml:space="preserve">Contrastar sector público vs. privado.  </w:t>
      </w:r>
    </w:p>
    <w:p>
      <w:pPr>
        <w:pStyle w:val="ListBullet"/>
        <w:keepLines w:val="1"/>
        <w:widowControl w:val="1"/>
      </w:pPr>
      <w:r>
        <w:t>Analizar correlaciones: por ejemplo, relación entre madurez de IA/SOAR y MTTD/MTTR.</w:t>
      </w:r>
    </w:p>
    <w:p>
      <w:pPr>
        <w:pStyle w:val="Heading3"/>
        <w:keepNext/>
        <w:keepLines/>
      </w:pPr>
      <w:r>
        <w:t>9.3 Devolución de resultados</w:t>
      </w:r>
    </w:p>
    <w:p>
      <w:r>
        <w:t>Opciones:</w:t>
      </w:r>
    </w:p>
    <w:p>
      <w:pPr>
        <w:pStyle w:val="ListBullet"/>
        <w:keepLines w:val="1"/>
        <w:keepNext w:val="1"/>
        <w:widowControl w:val="1"/>
      </w:pPr>
      <w:r>
        <w:t xml:space="preserve">Informe nacional agregado sin identificar organizaciones.  </w:t>
      </w:r>
    </w:p>
    <w:p>
      <w:pPr>
        <w:pStyle w:val="ListBullet"/>
        <w:keepLines w:val="1"/>
        <w:keepNext w:val="1"/>
        <w:widowControl w:val="1"/>
      </w:pPr>
      <w:r>
        <w:t xml:space="preserve">Informes sectoriales (energía, finanzas, sanidad, etc.).  </w:t>
      </w:r>
    </w:p>
    <w:p>
      <w:pPr>
        <w:pStyle w:val="ListBullet"/>
        <w:keepLines w:val="1"/>
        <w:widowControl w:val="1"/>
      </w:pPr>
      <w:r>
        <w:t>Informes personalizados de benchmarking (cada organización vs. media de su sector).</w:t>
      </w:r>
    </w:p>
    <w:p>
      <w:r>
        <w:t>En todos los casos, la narrativa debe ser orientada a la mejora, no al “naming and shaming”.</w:t>
      </w:r>
    </w:p>
    <w:p>
      <w:pPr>
        <w:pStyle w:val="Heading2"/>
        <w:keepNext/>
        <w:keepLines/>
      </w:pPr>
      <w:r>
        <w:rPr>
          <w:color w:val="0066CC"/>
        </w:rPr>
        <w:t>10. Limitaciones y cautelas</w:t>
      </w:r>
    </w:p>
    <w:p>
      <w:pPr>
        <w:pStyle w:val="ListBullet"/>
        <w:keepLines w:val="1"/>
        <w:keepNext w:val="1"/>
        <w:widowControl w:val="1"/>
      </w:pPr>
      <w:r>
        <w:t xml:space="preserve">Sesgo de deseabilidad social: los encuestados tienden a maquillar la realidad. Nada nuevo bajo el sol.  </w:t>
      </w:r>
    </w:p>
    <w:p>
      <w:pPr>
        <w:pStyle w:val="ListBullet"/>
        <w:keepLines w:val="1"/>
        <w:keepNext w:val="1"/>
        <w:widowControl w:val="1"/>
      </w:pPr>
      <w:r>
        <w:t xml:space="preserve">Heterogeneidad técnica: un mismo término (“SIEM”, “SOC”) puede significar cosas distintas según la casa.  </w:t>
      </w:r>
    </w:p>
    <w:p>
      <w:pPr>
        <w:pStyle w:val="ListBullet"/>
        <w:keepLines w:val="1"/>
        <w:widowControl w:val="1"/>
      </w:pPr>
      <w:r>
        <w:t>Evolución tecnológica y regulatoria: el marco puede cambiar, pero la lógica de fondo (medir velocidad, calidad, cobertura y riesgo) es bastante estable.</w:t>
      </w:r>
    </w:p>
    <w:p>
      <w:r>
        <w:t>La encuesta debe revisarse periódicamente (idealmente cada 2–3 años) para integrar nuevas exigencias regulatorias, avances tecnológicos y lecciones aprendidas.</w:t>
      </w:r>
    </w:p>
    <w:p>
      <w:pPr>
        <w:pStyle w:val="Heading2"/>
        <w:keepNext/>
        <w:keepLines/>
      </w:pPr>
      <w:r>
        <w:rPr>
          <w:color w:val="0066CC"/>
        </w:rPr>
        <w:t>11. Sugerencias para adaptación local</w:t>
      </w:r>
    </w:p>
    <w:p>
      <w:r>
        <w:t>Para ámbitos concretos (por ejemplo, una comunidad autónoma, un sector específico):</w:t>
      </w:r>
    </w:p>
    <w:p>
      <w:pPr>
        <w:pStyle w:val="ListBullet"/>
        <w:keepLines w:val="1"/>
        <w:keepNext w:val="1"/>
        <w:widowControl w:val="1"/>
      </w:pPr>
      <w:r>
        <w:t xml:space="preserve">Ajustar el lenguaje (por ejemplo, referencias a normativa autonómica).  </w:t>
      </w:r>
    </w:p>
    <w:p>
      <w:pPr>
        <w:pStyle w:val="ListBullet"/>
        <w:keepLines w:val="1"/>
        <w:keepNext w:val="1"/>
        <w:widowControl w:val="1"/>
      </w:pPr>
      <w:r>
        <w:t xml:space="preserve">Añadir secciones específicas (por ejemplo, historia clínica electrónica en sanidad).  </w:t>
      </w:r>
    </w:p>
    <w:p>
      <w:pPr>
        <w:pStyle w:val="ListBullet"/>
        <w:keepLines w:val="1"/>
        <w:widowControl w:val="1"/>
      </w:pPr>
      <w:r>
        <w:t>Reducir o ampliar el nivel de detalle según madurez estimada del público objetivo.</w:t>
      </w:r>
    </w:p>
    <w:p>
      <w:r>
        <w:t>La clave es mantener el equilibrio entre rigor y usabilidad: demasiadas preguntas y nadie contestará; demasiado pocas, y no se obtendrá inteligencia útil.</w:t>
      </w:r>
    </w:p>
    <w:p>
      <w:r>
        <w:rPr>
          <w:i/>
        </w:rPr>
        <w:t>Fin de la guía metodológica.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